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B06F5C" w14:textId="77777777" w:rsidR="0073673D" w:rsidRDefault="007C1C90">
      <w:pPr>
        <w:ind w:left="-426"/>
        <w:rPr>
          <w:rFonts w:ascii="Helvetica Neue Light" w:eastAsia="Helvetica Neue Light" w:hAnsi="Helvetica Neue Light" w:cs="Helvetica Neue Light"/>
          <w:color w:val="0E5872"/>
          <w:sz w:val="84"/>
          <w:szCs w:val="84"/>
        </w:rPr>
      </w:pPr>
      <w:r>
        <w:rPr>
          <w:rFonts w:ascii="Helvetica Neue Light" w:eastAsia="Helvetica Neue Light" w:hAnsi="Helvetica Neue Light" w:cs="Helvetica Neue Light"/>
          <w:color w:val="0E5872"/>
          <w:sz w:val="84"/>
          <w:szCs w:val="84"/>
        </w:rPr>
        <w:t>Flüssigbiopsie – Faktenblatter</w:t>
      </w:r>
    </w:p>
    <w:p w14:paraId="39ACE1E2" w14:textId="77777777" w:rsidR="0073673D" w:rsidRDefault="007C1C90">
      <w:pPr>
        <w:pStyle w:val="Titolo2"/>
        <w:rPr>
          <w:rFonts w:ascii="Helvetica Neue" w:eastAsia="Helvetica Neue" w:hAnsi="Helvetica Neue" w:cs="Helvetica Neue"/>
          <w:b/>
          <w:color w:val="0E5872"/>
        </w:rPr>
      </w:pPr>
      <w:bookmarkStart w:id="0" w:name="_43qkk86q4oua" w:colFirst="0" w:colLast="0"/>
      <w:bookmarkEnd w:id="0"/>
      <w:r>
        <w:rPr>
          <w:rFonts w:ascii="Helvetica Neue" w:eastAsia="Helvetica Neue" w:hAnsi="Helvetica Neue" w:cs="Helvetica Neue"/>
          <w:b/>
          <w:color w:val="0E5872"/>
        </w:rPr>
        <w:t>Was ist eine Flüssigbiopsie?</w:t>
      </w:r>
    </w:p>
    <w:p w14:paraId="38625D30" w14:textId="77777777" w:rsidR="0073673D" w:rsidRPr="00DD0A18" w:rsidRDefault="007C1C90">
      <w:pPr>
        <w:spacing w:before="240" w:after="240"/>
        <w:rPr>
          <w:sz w:val="24"/>
          <w:szCs w:val="24"/>
        </w:rPr>
      </w:pPr>
      <w:r w:rsidRPr="00DD0A18">
        <w:rPr>
          <w:sz w:val="24"/>
          <w:szCs w:val="24"/>
        </w:rPr>
        <w:t xml:space="preserve">Eine </w:t>
      </w:r>
      <w:r w:rsidRPr="00DD0A18">
        <w:rPr>
          <w:b/>
          <w:sz w:val="24"/>
          <w:szCs w:val="24"/>
        </w:rPr>
        <w:t xml:space="preserve">Flüssigbiopsie </w:t>
      </w:r>
      <w:r w:rsidRPr="00DD0A18">
        <w:rPr>
          <w:sz w:val="24"/>
          <w:szCs w:val="24"/>
        </w:rPr>
        <w:t xml:space="preserve">ist ein </w:t>
      </w:r>
      <w:r w:rsidRPr="00DD0A18">
        <w:rPr>
          <w:b/>
          <w:sz w:val="24"/>
          <w:szCs w:val="24"/>
        </w:rPr>
        <w:t>innovativer und minimalinvasiver Test</w:t>
      </w:r>
      <w:r w:rsidRPr="00DD0A18">
        <w:rPr>
          <w:sz w:val="24"/>
          <w:szCs w:val="24"/>
        </w:rPr>
        <w:t>. Eine Blutprobe wird im Labor analysiert, um das Vorhandensein oder Fehlen spezifischer Spuren zu überprüfen, die vom Tumor eines Patienten stammen.</w:t>
      </w:r>
    </w:p>
    <w:p w14:paraId="309DDC38" w14:textId="34A14A7D" w:rsidR="0073673D" w:rsidRPr="00DD0A18" w:rsidRDefault="007C1C90">
      <w:pPr>
        <w:spacing w:before="240" w:after="240"/>
        <w:rPr>
          <w:sz w:val="24"/>
          <w:szCs w:val="24"/>
        </w:rPr>
      </w:pPr>
      <w:r w:rsidRPr="00DD0A18">
        <w:rPr>
          <w:sz w:val="24"/>
          <w:szCs w:val="24"/>
        </w:rPr>
        <w:t xml:space="preserve">Durch </w:t>
      </w:r>
      <w:r w:rsidR="00CA377F" w:rsidRPr="00DD0A18">
        <w:rPr>
          <w:sz w:val="24"/>
          <w:szCs w:val="24"/>
        </w:rPr>
        <w:t xml:space="preserve">eine </w:t>
      </w:r>
      <w:r w:rsidRPr="00DD0A18">
        <w:rPr>
          <w:sz w:val="24"/>
          <w:szCs w:val="24"/>
        </w:rPr>
        <w:t>Flüssigbiopsie können Wissenschaftler zirkulierende Krebs</w:t>
      </w:r>
      <w:r w:rsidR="00CA377F" w:rsidRPr="00DD0A18">
        <w:rPr>
          <w:sz w:val="24"/>
          <w:szCs w:val="24"/>
        </w:rPr>
        <w:t>/Tumor</w:t>
      </w:r>
      <w:r w:rsidRPr="00DD0A18">
        <w:rPr>
          <w:sz w:val="24"/>
          <w:szCs w:val="24"/>
        </w:rPr>
        <w:t xml:space="preserve">-DNA, sogenannte </w:t>
      </w:r>
      <w:r w:rsidRPr="00DD0A18">
        <w:rPr>
          <w:b/>
          <w:sz w:val="24"/>
          <w:szCs w:val="24"/>
        </w:rPr>
        <w:t xml:space="preserve">ctDNA </w:t>
      </w:r>
      <w:r w:rsidRPr="00DD0A18">
        <w:rPr>
          <w:sz w:val="24"/>
          <w:szCs w:val="24"/>
        </w:rPr>
        <w:t xml:space="preserve">(„zirkulierende Tumor-DNA“), </w:t>
      </w:r>
      <w:r w:rsidR="00CA377F" w:rsidRPr="00DD0A18">
        <w:rPr>
          <w:sz w:val="24"/>
          <w:szCs w:val="24"/>
        </w:rPr>
        <w:t xml:space="preserve">im Blut </w:t>
      </w:r>
      <w:r w:rsidRPr="00DD0A18">
        <w:rPr>
          <w:sz w:val="24"/>
          <w:szCs w:val="24"/>
        </w:rPr>
        <w:t xml:space="preserve">nachweisen. </w:t>
      </w:r>
      <w:r w:rsidR="00CA377F" w:rsidRPr="00DD0A18">
        <w:rPr>
          <w:b/>
          <w:bCs/>
          <w:color w:val="202122"/>
          <w:sz w:val="24"/>
          <w:szCs w:val="24"/>
          <w:shd w:val="clear" w:color="auto" w:fill="FFFFFF"/>
        </w:rPr>
        <w:t>Zirkulierende tumor DNA</w:t>
      </w:r>
      <w:r w:rsidR="00CA377F" w:rsidRPr="00DD0A18">
        <w:rPr>
          <w:color w:val="202122"/>
          <w:sz w:val="24"/>
          <w:szCs w:val="24"/>
          <w:shd w:val="clear" w:color="auto" w:fill="FFFFFF"/>
        </w:rPr>
        <w:t> bezeichnet </w:t>
      </w:r>
      <w:hyperlink r:id="rId6" w:tooltip="DNA" w:history="1">
        <w:r w:rsidR="00CA377F" w:rsidRPr="00DD0A18">
          <w:rPr>
            <w:rStyle w:val="Collegamentoipertestuale"/>
            <w:color w:val="0645AD"/>
            <w:sz w:val="24"/>
            <w:szCs w:val="24"/>
            <w:shd w:val="clear" w:color="auto" w:fill="FFFFFF"/>
          </w:rPr>
          <w:t>DNA</w:t>
        </w:r>
      </w:hyperlink>
      <w:r w:rsidR="00CA377F" w:rsidRPr="00DD0A18">
        <w:rPr>
          <w:color w:val="202122"/>
          <w:sz w:val="24"/>
          <w:szCs w:val="24"/>
          <w:shd w:val="clear" w:color="auto" w:fill="FFFFFF"/>
        </w:rPr>
        <w:t>, die außerhalb von </w:t>
      </w:r>
      <w:hyperlink r:id="rId7" w:tooltip="Zelle (Biologie)" w:history="1">
        <w:r w:rsidR="00CA377F" w:rsidRPr="00DD0A18">
          <w:rPr>
            <w:rStyle w:val="Collegamentoipertestuale"/>
            <w:color w:val="0645AD"/>
            <w:sz w:val="24"/>
            <w:szCs w:val="24"/>
            <w:shd w:val="clear" w:color="auto" w:fill="FFFFFF"/>
          </w:rPr>
          <w:t>Zellen</w:t>
        </w:r>
      </w:hyperlink>
      <w:r w:rsidR="00CA377F" w:rsidRPr="00DD0A18">
        <w:rPr>
          <w:color w:val="202122"/>
          <w:sz w:val="24"/>
          <w:szCs w:val="24"/>
          <w:shd w:val="clear" w:color="auto" w:fill="FFFFFF"/>
        </w:rPr>
        <w:t> in der </w:t>
      </w:r>
      <w:hyperlink r:id="rId8" w:tooltip="Blutkreislauf" w:history="1">
        <w:r w:rsidR="00CA377F" w:rsidRPr="00DD0A18">
          <w:rPr>
            <w:rStyle w:val="Collegamentoipertestuale"/>
            <w:color w:val="0645AD"/>
            <w:sz w:val="24"/>
            <w:szCs w:val="24"/>
            <w:shd w:val="clear" w:color="auto" w:fill="FFFFFF"/>
          </w:rPr>
          <w:t>Blutzirkulation</w:t>
        </w:r>
      </w:hyperlink>
      <w:r w:rsidR="00CA377F" w:rsidRPr="00DD0A18">
        <w:rPr>
          <w:color w:val="202122"/>
          <w:sz w:val="24"/>
          <w:szCs w:val="24"/>
          <w:shd w:val="clear" w:color="auto" w:fill="FFFFFF"/>
        </w:rPr>
        <w:t> vorkommt.</w:t>
      </w:r>
      <w:r w:rsidRPr="00DD0A18">
        <w:rPr>
          <w:sz w:val="24"/>
          <w:szCs w:val="24"/>
        </w:rPr>
        <w:t xml:space="preserve">. Sie ist daher ein Indikator dafür, dass </w:t>
      </w:r>
      <w:r w:rsidR="00CA377F" w:rsidRPr="00DD0A18">
        <w:rPr>
          <w:sz w:val="24"/>
          <w:szCs w:val="24"/>
        </w:rPr>
        <w:t xml:space="preserve">es noch </w:t>
      </w:r>
      <w:r w:rsidRPr="00DD0A18">
        <w:rPr>
          <w:sz w:val="24"/>
          <w:szCs w:val="24"/>
        </w:rPr>
        <w:t xml:space="preserve">Krebszellen im Körper </w:t>
      </w:r>
      <w:r w:rsidR="00CA377F" w:rsidRPr="00DD0A18">
        <w:rPr>
          <w:sz w:val="24"/>
          <w:szCs w:val="24"/>
        </w:rPr>
        <w:t xml:space="preserve">sind </w:t>
      </w:r>
      <w:r w:rsidRPr="00DD0A18">
        <w:rPr>
          <w:sz w:val="24"/>
          <w:szCs w:val="24"/>
        </w:rPr>
        <w:t>(</w:t>
      </w:r>
      <w:r w:rsidRPr="00DD0A18">
        <w:rPr>
          <w:b/>
          <w:sz w:val="24"/>
          <w:szCs w:val="24"/>
        </w:rPr>
        <w:t>Minimal Residual Disease, MRD</w:t>
      </w:r>
      <w:r w:rsidRPr="00DD0A18">
        <w:rPr>
          <w:sz w:val="24"/>
          <w:szCs w:val="24"/>
        </w:rPr>
        <w:t>) und weist dieselben Merkmale auf wie der Ursprungstumor.</w:t>
      </w:r>
    </w:p>
    <w:p w14:paraId="33162BC2" w14:textId="7345EFD0" w:rsidR="0073673D" w:rsidRPr="00DD0A18" w:rsidRDefault="00CA377F">
      <w:pPr>
        <w:spacing w:before="240" w:after="240"/>
        <w:rPr>
          <w:sz w:val="24"/>
          <w:szCs w:val="24"/>
        </w:rPr>
      </w:pPr>
      <w:r w:rsidRPr="00DD0A18">
        <w:rPr>
          <w:sz w:val="24"/>
          <w:szCs w:val="24"/>
        </w:rPr>
        <w:t xml:space="preserve">ein positiver Flüssigbiopsietest </w:t>
      </w:r>
      <w:r w:rsidR="007C1C90" w:rsidRPr="00DD0A18">
        <w:rPr>
          <w:sz w:val="24"/>
          <w:szCs w:val="24"/>
        </w:rPr>
        <w:t xml:space="preserve">nach einer Operation mit kurativer Absicht </w:t>
      </w:r>
      <w:r w:rsidRPr="00DD0A18">
        <w:rPr>
          <w:sz w:val="24"/>
          <w:szCs w:val="24"/>
        </w:rPr>
        <w:t>bedeutet</w:t>
      </w:r>
      <w:r w:rsidR="007C1C90" w:rsidRPr="00DD0A18">
        <w:rPr>
          <w:sz w:val="24"/>
          <w:szCs w:val="24"/>
        </w:rPr>
        <w:t xml:space="preserve">, dass </w:t>
      </w:r>
      <w:r w:rsidRPr="00DD0A18">
        <w:rPr>
          <w:sz w:val="24"/>
          <w:szCs w:val="24"/>
        </w:rPr>
        <w:t xml:space="preserve">Krebszellen </w:t>
      </w:r>
      <w:r w:rsidR="007C1C90" w:rsidRPr="00DD0A18">
        <w:rPr>
          <w:sz w:val="24"/>
          <w:szCs w:val="24"/>
        </w:rPr>
        <w:t xml:space="preserve">sich irgendwo im Körper möglicherweise </w:t>
      </w:r>
      <w:r w:rsidRPr="00DD0A18">
        <w:rPr>
          <w:sz w:val="24"/>
          <w:szCs w:val="24"/>
        </w:rPr>
        <w:t>noch</w:t>
      </w:r>
      <w:r w:rsidR="007C1C90" w:rsidRPr="00DD0A18">
        <w:rPr>
          <w:sz w:val="24"/>
          <w:szCs w:val="24"/>
        </w:rPr>
        <w:t xml:space="preserve"> befinden, obwohl der Primärtumor entfernt wurde. Die an SAGITTARIUS beteiligten Ärzte </w:t>
      </w:r>
      <w:r w:rsidR="007C1C90" w:rsidRPr="00DD0A18">
        <w:rPr>
          <w:b/>
          <w:sz w:val="24"/>
          <w:szCs w:val="24"/>
        </w:rPr>
        <w:t xml:space="preserve">analysieren das genetische Profil des Primärtumors jedes Patienten </w:t>
      </w:r>
      <w:r w:rsidR="007C1C90" w:rsidRPr="00DD0A18">
        <w:rPr>
          <w:sz w:val="24"/>
          <w:szCs w:val="24"/>
        </w:rPr>
        <w:t xml:space="preserve">und erstellen daraus einen personalisierten Flüssigbiopsietest. </w:t>
      </w:r>
      <w:r w:rsidRPr="00DD0A18">
        <w:rPr>
          <w:sz w:val="24"/>
          <w:szCs w:val="24"/>
        </w:rPr>
        <w:t xml:space="preserve">Mit diesem Test werden die </w:t>
      </w:r>
      <w:r w:rsidR="007C1C90" w:rsidRPr="00DD0A18">
        <w:rPr>
          <w:sz w:val="24"/>
          <w:szCs w:val="24"/>
        </w:rPr>
        <w:t xml:space="preserve">Ärzten </w:t>
      </w:r>
      <w:r w:rsidRPr="00DD0A18">
        <w:rPr>
          <w:sz w:val="24"/>
          <w:szCs w:val="24"/>
        </w:rPr>
        <w:t xml:space="preserve">in der Lage sein, eine bessere </w:t>
      </w:r>
      <w:r w:rsidR="007C1C90" w:rsidRPr="00DD0A18">
        <w:rPr>
          <w:sz w:val="24"/>
          <w:szCs w:val="24"/>
        </w:rPr>
        <w:t>personalisierte Behandlungsstrategie nach der Operation eingesetzt</w:t>
      </w:r>
      <w:r w:rsidRPr="00DD0A18">
        <w:rPr>
          <w:sz w:val="24"/>
          <w:szCs w:val="24"/>
        </w:rPr>
        <w:t>en</w:t>
      </w:r>
      <w:r w:rsidR="007C1C90" w:rsidRPr="00DD0A18">
        <w:rPr>
          <w:sz w:val="24"/>
          <w:szCs w:val="24"/>
        </w:rPr>
        <w:t xml:space="preserve"> </w:t>
      </w:r>
      <w:r w:rsidRPr="00DD0A18">
        <w:rPr>
          <w:sz w:val="24"/>
          <w:szCs w:val="24"/>
        </w:rPr>
        <w:t xml:space="preserve">zu </w:t>
      </w:r>
      <w:r w:rsidR="007C1C90" w:rsidRPr="00DD0A18">
        <w:rPr>
          <w:sz w:val="24"/>
          <w:szCs w:val="24"/>
        </w:rPr>
        <w:t>könnten.</w:t>
      </w:r>
    </w:p>
    <w:p w14:paraId="74997C07" w14:textId="77777777" w:rsidR="0073673D" w:rsidRPr="00DD0A18" w:rsidRDefault="0073673D">
      <w:pPr>
        <w:spacing w:before="240" w:after="240"/>
        <w:rPr>
          <w:sz w:val="24"/>
          <w:szCs w:val="24"/>
        </w:rPr>
      </w:pPr>
    </w:p>
    <w:p w14:paraId="3F380E7B" w14:textId="77777777" w:rsidR="0073673D" w:rsidRPr="00DD0A18" w:rsidRDefault="0073673D">
      <w:pPr>
        <w:spacing w:before="240" w:after="240"/>
        <w:rPr>
          <w:sz w:val="24"/>
          <w:szCs w:val="24"/>
        </w:rPr>
      </w:pPr>
    </w:p>
    <w:p w14:paraId="64905AED" w14:textId="7B89473E" w:rsidR="0073673D" w:rsidRPr="00DD0A18" w:rsidRDefault="007C1C90">
      <w:pPr>
        <w:spacing w:before="240" w:after="240"/>
        <w:rPr>
          <w:b/>
          <w:sz w:val="24"/>
          <w:szCs w:val="24"/>
        </w:rPr>
      </w:pPr>
      <w:r w:rsidRPr="00DD0A18">
        <w:rPr>
          <w:b/>
          <w:sz w:val="24"/>
          <w:szCs w:val="24"/>
        </w:rPr>
        <w:t xml:space="preserve">Die Flüssigbiopsie befindet sich noch in der Forschung und gilt noch nicht als diagnostischer Test. Daher wird </w:t>
      </w:r>
      <w:r w:rsidR="00CA377F" w:rsidRPr="00DD0A18">
        <w:rPr>
          <w:b/>
          <w:sz w:val="24"/>
          <w:szCs w:val="24"/>
        </w:rPr>
        <w:t xml:space="preserve">es </w:t>
      </w:r>
      <w:r w:rsidRPr="00DD0A18">
        <w:rPr>
          <w:b/>
          <w:sz w:val="24"/>
          <w:szCs w:val="24"/>
        </w:rPr>
        <w:t>empfohlen, den Test im Rahmen einer klinischen Studie durch</w:t>
      </w:r>
      <w:r w:rsidR="00CA377F" w:rsidRPr="00DD0A18">
        <w:rPr>
          <w:b/>
          <w:sz w:val="24"/>
          <w:szCs w:val="24"/>
        </w:rPr>
        <w:t>zu</w:t>
      </w:r>
      <w:r w:rsidRPr="00DD0A18">
        <w:rPr>
          <w:b/>
          <w:sz w:val="24"/>
          <w:szCs w:val="24"/>
        </w:rPr>
        <w:t>führ</w:t>
      </w:r>
      <w:r w:rsidR="00CA377F" w:rsidRPr="00DD0A18">
        <w:rPr>
          <w:b/>
          <w:sz w:val="24"/>
          <w:szCs w:val="24"/>
        </w:rPr>
        <w:t>en</w:t>
      </w:r>
      <w:r w:rsidRPr="00DD0A18">
        <w:rPr>
          <w:b/>
          <w:sz w:val="24"/>
          <w:szCs w:val="24"/>
        </w:rPr>
        <w:t>.</w:t>
      </w:r>
    </w:p>
    <w:p w14:paraId="10FD1290" w14:textId="6133D8D4" w:rsidR="0073673D" w:rsidRPr="00DD0A18" w:rsidRDefault="00CA377F">
      <w:pPr>
        <w:spacing w:before="240" w:after="240"/>
        <w:rPr>
          <w:sz w:val="24"/>
          <w:szCs w:val="24"/>
        </w:rPr>
      </w:pPr>
      <w:r w:rsidRPr="00DD0A18">
        <w:rPr>
          <w:b/>
          <w:sz w:val="24"/>
          <w:szCs w:val="24"/>
        </w:rPr>
        <w:t>Aktuelle wird es weltweit in v</w:t>
      </w:r>
      <w:r w:rsidR="007C1C90" w:rsidRPr="00DD0A18">
        <w:rPr>
          <w:b/>
          <w:sz w:val="24"/>
          <w:szCs w:val="24"/>
        </w:rPr>
        <w:t>erschiedene</w:t>
      </w:r>
      <w:r w:rsidRPr="00DD0A18">
        <w:rPr>
          <w:b/>
          <w:sz w:val="24"/>
          <w:szCs w:val="24"/>
        </w:rPr>
        <w:t>n</w:t>
      </w:r>
      <w:r w:rsidR="007C1C90" w:rsidRPr="00DD0A18">
        <w:rPr>
          <w:b/>
          <w:sz w:val="24"/>
          <w:szCs w:val="24"/>
        </w:rPr>
        <w:t xml:space="preserve"> klinische</w:t>
      </w:r>
      <w:r w:rsidRPr="00DD0A18">
        <w:rPr>
          <w:b/>
          <w:sz w:val="24"/>
          <w:szCs w:val="24"/>
        </w:rPr>
        <w:t>n</w:t>
      </w:r>
      <w:r w:rsidR="007C1C90" w:rsidRPr="00DD0A18">
        <w:rPr>
          <w:b/>
          <w:sz w:val="24"/>
          <w:szCs w:val="24"/>
        </w:rPr>
        <w:t xml:space="preserve"> Studien </w:t>
      </w:r>
      <w:r w:rsidRPr="00DD0A18">
        <w:rPr>
          <w:b/>
          <w:sz w:val="24"/>
          <w:szCs w:val="24"/>
        </w:rPr>
        <w:t>den klinischen Nutzen der Flüssigbiopsie</w:t>
      </w:r>
      <w:r w:rsidRPr="00DD0A18" w:rsidDel="00CA377F">
        <w:rPr>
          <w:b/>
          <w:sz w:val="24"/>
          <w:szCs w:val="24"/>
        </w:rPr>
        <w:t xml:space="preserve"> </w:t>
      </w:r>
      <w:r w:rsidR="007C1C90" w:rsidRPr="00DD0A18">
        <w:rPr>
          <w:b/>
          <w:sz w:val="24"/>
          <w:szCs w:val="24"/>
        </w:rPr>
        <w:t>untersuc</w:t>
      </w:r>
      <w:r w:rsidRPr="00DD0A18">
        <w:rPr>
          <w:b/>
          <w:sz w:val="24"/>
          <w:szCs w:val="24"/>
        </w:rPr>
        <w:t>ht</w:t>
      </w:r>
      <w:r w:rsidR="007C1C90" w:rsidRPr="00DD0A18">
        <w:rPr>
          <w:b/>
          <w:sz w:val="24"/>
          <w:szCs w:val="24"/>
        </w:rPr>
        <w:t>.</w:t>
      </w:r>
      <w:r w:rsidR="007C1C90" w:rsidRPr="00DD0A18">
        <w:rPr>
          <w:sz w:val="24"/>
          <w:szCs w:val="24"/>
        </w:rPr>
        <w:t xml:space="preserve"> SAGITTARIUS ist die erste randomisierte klinische Phase-III-Studie in Europa, in der ein individualisierter, tumorinformierter Flüssigbiopsie-Ansatz zur Optimierung der postoperativen Behandlung bei früh Stadium Dickdarmkrebs getestet wird.</w:t>
      </w:r>
    </w:p>
    <w:p w14:paraId="57BDD755" w14:textId="77777777" w:rsidR="0073673D" w:rsidRPr="00DD0A18" w:rsidRDefault="007C1C90">
      <w:pPr>
        <w:spacing w:before="240" w:after="240"/>
        <w:rPr>
          <w:sz w:val="24"/>
          <w:szCs w:val="24"/>
        </w:rPr>
      </w:pPr>
      <w:r w:rsidRPr="00DD0A18">
        <w:rPr>
          <w:sz w:val="24"/>
          <w:szCs w:val="24"/>
        </w:rPr>
        <w:t xml:space="preserve">Patienten mit Hochrisiko-Dickdarmkrebs im Stadium II oder III, die für die Aufnahme in die SAGITTARIUS-Studie in Betracht gezogen werden möchten, können sich an </w:t>
      </w:r>
      <w:r w:rsidRPr="00DD0A18">
        <w:rPr>
          <w:sz w:val="24"/>
          <w:szCs w:val="24"/>
        </w:rPr>
        <w:lastRenderedPageBreak/>
        <w:t>das nächstgelegene klinische Zentrum wenden, das an der klinischen Studie beteiligt ist.</w:t>
      </w:r>
    </w:p>
    <w:p w14:paraId="28FABA7C" w14:textId="77777777" w:rsidR="0073673D" w:rsidRDefault="0073673D">
      <w:pPr>
        <w:rPr>
          <w:sz w:val="24"/>
          <w:szCs w:val="24"/>
        </w:rPr>
      </w:pPr>
    </w:p>
    <w:p w14:paraId="35D10263" w14:textId="77777777" w:rsidR="0073673D" w:rsidRDefault="0073673D">
      <w:pPr>
        <w:rPr>
          <w:sz w:val="24"/>
          <w:szCs w:val="24"/>
        </w:rPr>
      </w:pPr>
    </w:p>
    <w:p w14:paraId="2E55538D" w14:textId="77777777" w:rsidR="0073673D" w:rsidRDefault="0073673D">
      <w:pPr>
        <w:rPr>
          <w:sz w:val="24"/>
          <w:szCs w:val="24"/>
        </w:rPr>
      </w:pPr>
    </w:p>
    <w:p w14:paraId="1A731BEC" w14:textId="77777777" w:rsidR="0073673D" w:rsidRPr="00DD0A18" w:rsidRDefault="007C1C90">
      <w:pPr>
        <w:jc w:val="center"/>
        <w:rPr>
          <w:color w:val="0E5872"/>
          <w:sz w:val="16"/>
          <w:szCs w:val="16"/>
          <w:lang w:val="en-US"/>
        </w:rPr>
      </w:pPr>
      <w:r w:rsidRPr="00DD0A18">
        <w:rPr>
          <w:b/>
          <w:color w:val="0E5872"/>
          <w:sz w:val="16"/>
          <w:szCs w:val="16"/>
          <w:lang w:val="en-US"/>
        </w:rPr>
        <w:t>Clinical study coordinator centres</w:t>
      </w:r>
    </w:p>
    <w:p w14:paraId="4D02DC17" w14:textId="77777777" w:rsidR="0073673D" w:rsidRPr="00DD0A18" w:rsidRDefault="007C1C90">
      <w:pPr>
        <w:jc w:val="center"/>
        <w:rPr>
          <w:sz w:val="20"/>
          <w:szCs w:val="20"/>
          <w:lang w:val="en-US"/>
        </w:rPr>
      </w:pPr>
      <w:r w:rsidRPr="00DD0A18">
        <w:rPr>
          <w:sz w:val="20"/>
          <w:szCs w:val="20"/>
          <w:lang w:val="en-US"/>
        </w:rPr>
        <w:t xml:space="preserve">  </w:t>
      </w:r>
      <w:r>
        <w:rPr>
          <w:noProof/>
        </w:rPr>
        <w:drawing>
          <wp:inline distT="114300" distB="114300" distL="114300" distR="114300" wp14:anchorId="1D123354" wp14:editId="5E47F016">
            <wp:extent cx="1261282" cy="217462"/>
            <wp:effectExtent l="0" t="0" r="0" b="0"/>
            <wp:docPr id="12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1282" cy="2174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</w:t>
      </w:r>
      <w:r>
        <w:rPr>
          <w:noProof/>
          <w:sz w:val="20"/>
          <w:szCs w:val="20"/>
        </w:rPr>
        <w:drawing>
          <wp:inline distT="114300" distB="114300" distL="114300" distR="114300" wp14:anchorId="08D25C47" wp14:editId="092AD2EF">
            <wp:extent cx="354954" cy="203662"/>
            <wp:effectExtent l="0" t="0" r="0" b="0"/>
            <wp:docPr id="14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954" cy="2036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sz w:val="20"/>
          <w:szCs w:val="20"/>
          <w:lang w:val="en-US"/>
        </w:rPr>
        <w:t xml:space="preserve">   </w:t>
      </w:r>
      <w:r>
        <w:rPr>
          <w:noProof/>
          <w:sz w:val="20"/>
          <w:szCs w:val="20"/>
        </w:rPr>
        <w:drawing>
          <wp:inline distT="114300" distB="114300" distL="114300" distR="114300" wp14:anchorId="4AEAC4B5" wp14:editId="2B894233">
            <wp:extent cx="726245" cy="230273"/>
            <wp:effectExtent l="0" t="0" r="0" b="0"/>
            <wp:docPr id="10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l="6425" t="12483" r="11157" b="24022"/>
                    <a:stretch>
                      <a:fillRect/>
                    </a:stretch>
                  </pic:blipFill>
                  <pic:spPr>
                    <a:xfrm>
                      <a:off x="0" y="0"/>
                      <a:ext cx="726245" cy="23027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sz w:val="20"/>
          <w:szCs w:val="20"/>
          <w:lang w:val="en-US"/>
        </w:rPr>
        <w:t xml:space="preserve">    </w:t>
      </w:r>
      <w:r>
        <w:rPr>
          <w:noProof/>
        </w:rPr>
        <w:drawing>
          <wp:inline distT="114300" distB="114300" distL="114300" distR="114300" wp14:anchorId="4BBD6E53" wp14:editId="3D3E5127">
            <wp:extent cx="514350" cy="190500"/>
            <wp:effectExtent l="0" t="0" r="0" b="0"/>
            <wp:docPr id="9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sz w:val="20"/>
          <w:szCs w:val="20"/>
          <w:lang w:val="en-US"/>
        </w:rPr>
        <w:t xml:space="preserve">       </w:t>
      </w:r>
    </w:p>
    <w:p w14:paraId="01C23068" w14:textId="77777777" w:rsidR="0073673D" w:rsidRPr="00DD0A18" w:rsidRDefault="0073673D">
      <w:pPr>
        <w:jc w:val="center"/>
        <w:rPr>
          <w:sz w:val="12"/>
          <w:szCs w:val="12"/>
          <w:lang w:val="en-US"/>
        </w:rPr>
      </w:pPr>
    </w:p>
    <w:p w14:paraId="11C7B54A" w14:textId="77777777" w:rsidR="0073673D" w:rsidRPr="00DD0A18" w:rsidRDefault="007C1C90">
      <w:pPr>
        <w:jc w:val="center"/>
        <w:rPr>
          <w:b/>
          <w:color w:val="0E5872"/>
          <w:sz w:val="16"/>
          <w:szCs w:val="16"/>
          <w:lang w:val="en-US"/>
        </w:rPr>
      </w:pPr>
      <w:r w:rsidRPr="00DD0A18">
        <w:rPr>
          <w:b/>
          <w:color w:val="0E5872"/>
          <w:sz w:val="16"/>
          <w:szCs w:val="16"/>
          <w:lang w:val="en-US"/>
        </w:rPr>
        <w:t>SAGITTARIUS consortium</w:t>
      </w:r>
    </w:p>
    <w:p w14:paraId="35829182" w14:textId="77777777" w:rsidR="0073673D" w:rsidRPr="00DD0A18" w:rsidRDefault="007C1C90">
      <w:pPr>
        <w:jc w:val="center"/>
        <w:rPr>
          <w:lang w:val="en-US"/>
        </w:rPr>
      </w:pPr>
      <w:r>
        <w:rPr>
          <w:noProof/>
        </w:rPr>
        <w:drawing>
          <wp:inline distT="114300" distB="114300" distL="114300" distR="114300" wp14:anchorId="1ABC0755" wp14:editId="3A720A44">
            <wp:extent cx="504825" cy="190500"/>
            <wp:effectExtent l="0" t="0" r="0" b="0"/>
            <wp:docPr id="1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  </w:t>
      </w:r>
      <w:r>
        <w:rPr>
          <w:noProof/>
        </w:rPr>
        <w:drawing>
          <wp:inline distT="114300" distB="114300" distL="114300" distR="114300" wp14:anchorId="4400A9FF" wp14:editId="68866690">
            <wp:extent cx="609600" cy="190500"/>
            <wp:effectExtent l="0" t="0" r="0" b="0"/>
            <wp:docPr id="11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  </w:t>
      </w:r>
      <w:r>
        <w:rPr>
          <w:noProof/>
        </w:rPr>
        <w:drawing>
          <wp:inline distT="114300" distB="114300" distL="114300" distR="114300" wp14:anchorId="071994BB" wp14:editId="7B6B8B6B">
            <wp:extent cx="190500" cy="277813"/>
            <wp:effectExtent l="0" t="0" r="0" b="0"/>
            <wp:docPr id="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778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 </w:t>
      </w:r>
      <w:r>
        <w:rPr>
          <w:noProof/>
        </w:rPr>
        <w:drawing>
          <wp:inline distT="114300" distB="114300" distL="114300" distR="114300" wp14:anchorId="67D07EA1" wp14:editId="4496E2F2">
            <wp:extent cx="536915" cy="266700"/>
            <wp:effectExtent l="0" t="0" r="0" b="0"/>
            <wp:docPr id="1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l="6425" r="11157"/>
                    <a:stretch>
                      <a:fillRect/>
                    </a:stretch>
                  </pic:blipFill>
                  <pic:spPr>
                    <a:xfrm>
                      <a:off x="0" y="0"/>
                      <a:ext cx="536915" cy="26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</w:t>
      </w:r>
      <w:r>
        <w:rPr>
          <w:noProof/>
        </w:rPr>
        <w:drawing>
          <wp:inline distT="114300" distB="114300" distL="114300" distR="114300" wp14:anchorId="6B8D2C70" wp14:editId="21EEAC51">
            <wp:extent cx="580125" cy="257175"/>
            <wp:effectExtent l="0" t="0" r="0" b="0"/>
            <wp:docPr id="7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6"/>
                    <a:srcRect l="9470" t="13955" r="8133" b="14672"/>
                    <a:stretch>
                      <a:fillRect/>
                    </a:stretch>
                  </pic:blipFill>
                  <pic:spPr>
                    <a:xfrm>
                      <a:off x="0" y="0"/>
                      <a:ext cx="580125" cy="257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</w:t>
      </w:r>
      <w:r>
        <w:rPr>
          <w:noProof/>
        </w:rPr>
        <w:drawing>
          <wp:inline distT="114300" distB="114300" distL="114300" distR="114300" wp14:anchorId="5C555AFE" wp14:editId="5190AB9F">
            <wp:extent cx="816429" cy="190500"/>
            <wp:effectExtent l="0" t="0" r="0" b="0"/>
            <wp:docPr id="2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7"/>
                    <a:srcRect t="38012" r="-1584" b="38336"/>
                    <a:stretch>
                      <a:fillRect/>
                    </a:stretch>
                  </pic:blipFill>
                  <pic:spPr>
                    <a:xfrm>
                      <a:off x="0" y="0"/>
                      <a:ext cx="816429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</w:t>
      </w:r>
      <w:r>
        <w:rPr>
          <w:noProof/>
        </w:rPr>
        <w:drawing>
          <wp:inline distT="114300" distB="114300" distL="114300" distR="114300" wp14:anchorId="3614DB70" wp14:editId="59332802">
            <wp:extent cx="365359" cy="198565"/>
            <wp:effectExtent l="0" t="0" r="0" b="0"/>
            <wp:docPr id="6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359" cy="1985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 </w:t>
      </w:r>
      <w:r>
        <w:rPr>
          <w:noProof/>
        </w:rPr>
        <w:drawing>
          <wp:inline distT="114300" distB="114300" distL="114300" distR="114300" wp14:anchorId="1A92CA24" wp14:editId="0C6192C2">
            <wp:extent cx="269759" cy="193889"/>
            <wp:effectExtent l="0" t="0" r="0" b="0"/>
            <wp:docPr id="3" name="image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759" cy="19388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DD0A18">
        <w:rPr>
          <w:lang w:val="en-US"/>
        </w:rPr>
        <w:t xml:space="preserve">  </w:t>
      </w:r>
      <w:r>
        <w:rPr>
          <w:noProof/>
        </w:rPr>
        <w:drawing>
          <wp:inline distT="114300" distB="114300" distL="114300" distR="114300" wp14:anchorId="1647E17D" wp14:editId="5EA2370C">
            <wp:extent cx="514350" cy="190500"/>
            <wp:effectExtent l="0" t="0" r="0" b="0"/>
            <wp:docPr id="4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14E67D" w14:textId="77777777" w:rsidR="0073673D" w:rsidRPr="00DD0A18" w:rsidRDefault="0073673D">
      <w:pPr>
        <w:rPr>
          <w:lang w:val="en-US"/>
        </w:rPr>
      </w:pPr>
    </w:p>
    <w:p w14:paraId="55DB4770" w14:textId="77777777" w:rsidR="0073673D" w:rsidRPr="00DD0A18" w:rsidRDefault="0073673D">
      <w:pPr>
        <w:rPr>
          <w:lang w:val="en-US"/>
        </w:rPr>
      </w:pPr>
    </w:p>
    <w:p w14:paraId="5850819B" w14:textId="77777777" w:rsidR="0073673D" w:rsidRDefault="007C1C90">
      <w:r>
        <w:rPr>
          <w:noProof/>
        </w:rPr>
        <w:drawing>
          <wp:inline distT="114300" distB="114300" distL="114300" distR="114300" wp14:anchorId="1026C1DF" wp14:editId="39E83AD0">
            <wp:extent cx="5867513" cy="828798"/>
            <wp:effectExtent l="0" t="0" r="0" b="0"/>
            <wp:docPr id="16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7513" cy="8287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73673D">
      <w:headerReference w:type="default" r:id="rId21"/>
      <w:footerReference w:type="default" r:id="rId22"/>
      <w:pgSz w:w="11909" w:h="16834"/>
      <w:pgMar w:top="1440" w:right="1440" w:bottom="1440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623A9" w14:textId="77777777" w:rsidR="00965CFC" w:rsidRDefault="007C1C90">
      <w:pPr>
        <w:spacing w:line="240" w:lineRule="auto"/>
      </w:pPr>
      <w:r>
        <w:separator/>
      </w:r>
    </w:p>
  </w:endnote>
  <w:endnote w:type="continuationSeparator" w:id="0">
    <w:p w14:paraId="3F32D9E5" w14:textId="77777777" w:rsidR="00965CFC" w:rsidRDefault="007C1C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 Light">
    <w:altName w:val="Arial Nova Light"/>
    <w:charset w:val="00"/>
    <w:family w:val="auto"/>
    <w:pitch w:val="default"/>
  </w:font>
  <w:font w:name="Helvetica Neue">
    <w:panose1 w:val="00000000000000000000"/>
    <w:charset w:val="00"/>
    <w:family w:val="auto"/>
    <w:pitch w:val="variable"/>
    <w:sig w:usb0="A000002F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28BB6" w14:textId="77777777" w:rsidR="0073673D" w:rsidRDefault="007367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A7775" w14:textId="77777777" w:rsidR="00965CFC" w:rsidRDefault="007C1C90">
      <w:pPr>
        <w:spacing w:line="240" w:lineRule="auto"/>
      </w:pPr>
      <w:r>
        <w:separator/>
      </w:r>
    </w:p>
  </w:footnote>
  <w:footnote w:type="continuationSeparator" w:id="0">
    <w:p w14:paraId="7395B3F8" w14:textId="77777777" w:rsidR="00965CFC" w:rsidRDefault="007C1C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13A21" w14:textId="77777777" w:rsidR="0073673D" w:rsidRDefault="007C1C90"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1D251D40" wp14:editId="33DFD201">
          <wp:simplePos x="0" y="0"/>
          <wp:positionH relativeFrom="page">
            <wp:posOffset>5626425</wp:posOffset>
          </wp:positionH>
          <wp:positionV relativeFrom="page">
            <wp:posOffset>469038</wp:posOffset>
          </wp:positionV>
          <wp:extent cx="1014413" cy="338138"/>
          <wp:effectExtent l="0" t="0" r="0" b="0"/>
          <wp:wrapNone/>
          <wp:docPr id="8" name="image3.png" descr="SAGITTARIUS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SAGITTARIUS log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14413" cy="3381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inline distT="114300" distB="114300" distL="114300" distR="114300" wp14:anchorId="2C883B38" wp14:editId="0154986F">
          <wp:extent cx="1171688" cy="318140"/>
          <wp:effectExtent l="0" t="0" r="0" b="0"/>
          <wp:docPr id="1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71688" cy="318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73D"/>
    <w:rsid w:val="0073673D"/>
    <w:rsid w:val="007C1C90"/>
    <w:rsid w:val="00965CFC"/>
    <w:rsid w:val="00CA377F"/>
    <w:rsid w:val="00DD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F7C46"/>
  <w15:docId w15:val="{6E6F7C12-60D7-4B60-89FC-EED5E06A9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de-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37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377F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CA377F"/>
    <w:rPr>
      <w:color w:val="0000FF"/>
      <w:u w:val="single"/>
    </w:rPr>
  </w:style>
  <w:style w:type="paragraph" w:styleId="Revisione">
    <w:name w:val="Revision"/>
    <w:hidden/>
    <w:uiPriority w:val="99"/>
    <w:semiHidden/>
    <w:rsid w:val="00DD0A18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.wikipedia.org/wiki/Blutkreislauf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de.wikipedia.org/wiki/Zelle_(Biologie)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hyperlink" Target="https://de.wikipedia.org/wiki/DNA" TargetMode="Externa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Charité Universitaetsmedizin Berlin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Vecchione, Loredana</dc:creator>
  <cp:lastModifiedBy>Pisano Jolanda Serena</cp:lastModifiedBy>
  <cp:revision>3</cp:revision>
  <dcterms:created xsi:type="dcterms:W3CDTF">2024-05-08T15:21:00Z</dcterms:created>
  <dcterms:modified xsi:type="dcterms:W3CDTF">2024-05-10T11:31:00Z</dcterms:modified>
</cp:coreProperties>
</file>