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426" w:firstLine="0"/>
        <w:rPr/>
      </w:pPr>
      <w:r w:rsidDel="00000000" w:rsidR="00000000" w:rsidRPr="00000000">
        <w:rPr>
          <w:rFonts w:ascii="Helvetica Neue Light" w:cs="Helvetica Neue Light" w:eastAsia="Helvetica Neue Light" w:hAnsi="Helvetica Neue Light"/>
          <w:color w:val="0e5872"/>
          <w:sz w:val="84"/>
          <w:szCs w:val="84"/>
          <w:rtl w:val="0"/>
        </w:rPr>
        <w:t xml:space="preserve">Faktenblatt SAGITTARIUS</w:t>
      </w:r>
      <w:r w:rsidDel="00000000" w:rsidR="00000000" w:rsidRPr="00000000">
        <w:rPr>
          <w:rtl w:val="0"/>
        </w:rPr>
      </w:r>
    </w:p>
    <w:p w:rsidR="00000000" w:rsidDel="00000000" w:rsidP="00000000" w:rsidRDefault="00000000" w:rsidRPr="00000000" w14:paraId="00000002">
      <w:pPr>
        <w:numPr>
          <w:ilvl w:val="0"/>
          <w:numId w:val="1"/>
        </w:numPr>
        <w:spacing w:after="0" w:afterAutospacing="0" w:before="240" w:lineRule="auto"/>
        <w:ind w:left="720" w:hanging="360"/>
        <w:rPr>
          <w:sz w:val="24"/>
          <w:szCs w:val="24"/>
        </w:rPr>
      </w:pPr>
      <w:r w:rsidDel="00000000" w:rsidR="00000000" w:rsidRPr="00000000">
        <w:rPr>
          <w:b w:val="1"/>
          <w:color w:val="ea615c"/>
          <w:sz w:val="24"/>
          <w:szCs w:val="24"/>
          <w:rtl w:val="0"/>
        </w:rPr>
        <w:t xml:space="preserve">Akronym</w:t>
      </w:r>
      <w:r w:rsidDel="00000000" w:rsidR="00000000" w:rsidRPr="00000000">
        <w:rPr>
          <w:sz w:val="24"/>
          <w:szCs w:val="24"/>
          <w:rtl w:val="0"/>
        </w:rPr>
        <w:t xml:space="preserve">: SAGITTARIUS</w:t>
      </w:r>
    </w:p>
    <w:p w:rsidR="00000000" w:rsidDel="00000000" w:rsidP="00000000" w:rsidRDefault="00000000" w:rsidRPr="00000000" w14:paraId="00000003">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Titel</w:t>
      </w:r>
      <w:r w:rsidDel="00000000" w:rsidR="00000000" w:rsidRPr="00000000">
        <w:rPr>
          <w:sz w:val="24"/>
          <w:szCs w:val="24"/>
          <w:rtl w:val="0"/>
        </w:rPr>
        <w:t xml:space="preserve">: Eine Präzisionsmedizinstudie, die blutbasierte Tumorgenomik nutzt, um die Behandlung von Patienten mit operablem Dickdarmkrebs im Stadium III und Hochrisikostadium II zu optimieren – die Sagittarius-Studie</w:t>
      </w:r>
    </w:p>
    <w:p w:rsidR="00000000" w:rsidDel="00000000" w:rsidP="00000000" w:rsidRDefault="00000000" w:rsidRPr="00000000" w14:paraId="00000004">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Fördernummer</w:t>
      </w:r>
      <w:r w:rsidDel="00000000" w:rsidR="00000000" w:rsidRPr="00000000">
        <w:rPr>
          <w:sz w:val="24"/>
          <w:szCs w:val="24"/>
          <w:rtl w:val="0"/>
        </w:rPr>
        <w:t xml:space="preserve">: 101104657</w:t>
      </w:r>
    </w:p>
    <w:p w:rsidR="00000000" w:rsidDel="00000000" w:rsidP="00000000" w:rsidRDefault="00000000" w:rsidRPr="00000000" w14:paraId="00000005">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Projektkoordinator</w:t>
      </w:r>
      <w:r w:rsidDel="00000000" w:rsidR="00000000" w:rsidRPr="00000000">
        <w:rPr>
          <w:sz w:val="24"/>
          <w:szCs w:val="24"/>
          <w:rtl w:val="0"/>
        </w:rPr>
        <w:t xml:space="preserve">: IFOM - das AIRC Institute of Molecular Oncology (Mailand, Italien).</w:t>
      </w:r>
    </w:p>
    <w:p w:rsidR="00000000" w:rsidDel="00000000" w:rsidP="00000000" w:rsidRDefault="00000000" w:rsidRPr="00000000" w14:paraId="00000006">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Gesamtkosten</w:t>
      </w:r>
      <w:r w:rsidDel="00000000" w:rsidR="00000000" w:rsidRPr="00000000">
        <w:rPr>
          <w:sz w:val="24"/>
          <w:szCs w:val="24"/>
          <w:rtl w:val="0"/>
        </w:rPr>
        <w:t xml:space="preserve">: 5.999.764,58 €</w:t>
      </w:r>
    </w:p>
    <w:p w:rsidR="00000000" w:rsidDel="00000000" w:rsidP="00000000" w:rsidRDefault="00000000" w:rsidRPr="00000000" w14:paraId="00000007">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Finanzierung durch die Europäische Kommission</w:t>
      </w:r>
      <w:r w:rsidDel="00000000" w:rsidR="00000000" w:rsidRPr="00000000">
        <w:rPr>
          <w:sz w:val="24"/>
          <w:szCs w:val="24"/>
          <w:rtl w:val="0"/>
        </w:rPr>
        <w:t xml:space="preserve">: 5.999.764,58 €</w:t>
      </w:r>
    </w:p>
    <w:p w:rsidR="00000000" w:rsidDel="00000000" w:rsidP="00000000" w:rsidRDefault="00000000" w:rsidRPr="00000000" w14:paraId="00000008">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Thema</w:t>
      </w:r>
      <w:r w:rsidDel="00000000" w:rsidR="00000000" w:rsidRPr="00000000">
        <w:rPr>
          <w:sz w:val="24"/>
          <w:szCs w:val="24"/>
          <w:rtl w:val="0"/>
        </w:rPr>
        <w:t xml:space="preserve">: Gesundheitsforschung</w:t>
      </w:r>
    </w:p>
    <w:p w:rsidR="00000000" w:rsidDel="00000000" w:rsidP="00000000" w:rsidRDefault="00000000" w:rsidRPr="00000000" w14:paraId="00000009">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Art der Maßnahme</w:t>
      </w:r>
      <w:r w:rsidDel="00000000" w:rsidR="00000000" w:rsidRPr="00000000">
        <w:rPr>
          <w:sz w:val="24"/>
          <w:szCs w:val="24"/>
          <w:rtl w:val="0"/>
        </w:rPr>
        <w:t xml:space="preserve">: Forschungs- und Innovationsmaßnahmen</w:t>
      </w:r>
    </w:p>
    <w:p w:rsidR="00000000" w:rsidDel="00000000" w:rsidP="00000000" w:rsidRDefault="00000000" w:rsidRPr="00000000" w14:paraId="0000000A">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Bewilligungsbehörde</w:t>
      </w:r>
      <w:r w:rsidDel="00000000" w:rsidR="00000000" w:rsidRPr="00000000">
        <w:rPr>
          <w:sz w:val="24"/>
          <w:szCs w:val="24"/>
          <w:rtl w:val="0"/>
        </w:rPr>
        <w:t xml:space="preserve">: European Health and Digital Executive Agency (Europäische Exekutivagentur für Gesundheit und Digitales)</w:t>
      </w:r>
    </w:p>
    <w:p w:rsidR="00000000" w:rsidDel="00000000" w:rsidP="00000000" w:rsidRDefault="00000000" w:rsidRPr="00000000" w14:paraId="0000000B">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Förderprogramm</w:t>
      </w:r>
      <w:r w:rsidDel="00000000" w:rsidR="00000000" w:rsidRPr="00000000">
        <w:rPr>
          <w:sz w:val="24"/>
          <w:szCs w:val="24"/>
          <w:rtl w:val="0"/>
        </w:rPr>
        <w:t xml:space="preserve">: HORIZON-MISS-2022-CANCER-01-03 - Pragmatic clinical trials to optimise treatments for patients with refractory cancers (Pragmatische klinische Studien zur Optimierung der Behandlungen für Patienten mit refraktären Krebserkrankungen)</w:t>
      </w:r>
    </w:p>
    <w:p w:rsidR="00000000" w:rsidDel="00000000" w:rsidP="00000000" w:rsidRDefault="00000000" w:rsidRPr="00000000" w14:paraId="0000000C">
      <w:pPr>
        <w:numPr>
          <w:ilvl w:val="0"/>
          <w:numId w:val="1"/>
        </w:numPr>
        <w:spacing w:after="0" w:afterAutospacing="0" w:before="0" w:beforeAutospacing="0" w:lineRule="auto"/>
        <w:ind w:left="720" w:hanging="360"/>
        <w:rPr>
          <w:sz w:val="24"/>
          <w:szCs w:val="24"/>
        </w:rPr>
      </w:pPr>
      <w:r w:rsidDel="00000000" w:rsidR="00000000" w:rsidRPr="00000000">
        <w:rPr>
          <w:b w:val="1"/>
          <w:color w:val="ea615c"/>
          <w:sz w:val="24"/>
          <w:szCs w:val="24"/>
          <w:rtl w:val="0"/>
        </w:rPr>
        <w:t xml:space="preserve">Projektdauer</w:t>
      </w:r>
      <w:r w:rsidDel="00000000" w:rsidR="00000000" w:rsidRPr="00000000">
        <w:rPr>
          <w:sz w:val="24"/>
          <w:szCs w:val="24"/>
          <w:rtl w:val="0"/>
        </w:rPr>
        <w:t xml:space="preserve">: 60 Monate; 1. Juli 2023 – 30. Juni 2028</w:t>
      </w:r>
    </w:p>
    <w:p w:rsidR="00000000" w:rsidDel="00000000" w:rsidP="00000000" w:rsidRDefault="00000000" w:rsidRPr="00000000" w14:paraId="0000000D">
      <w:pPr>
        <w:numPr>
          <w:ilvl w:val="0"/>
          <w:numId w:val="1"/>
        </w:numPr>
        <w:spacing w:after="240" w:before="0" w:beforeAutospacing="0" w:lineRule="auto"/>
        <w:ind w:left="720" w:hanging="360"/>
        <w:rPr>
          <w:sz w:val="24"/>
          <w:szCs w:val="24"/>
        </w:rPr>
      </w:pPr>
      <w:r w:rsidDel="00000000" w:rsidR="00000000" w:rsidRPr="00000000">
        <w:rPr>
          <w:b w:val="1"/>
          <w:color w:val="ea615c"/>
          <w:sz w:val="24"/>
          <w:szCs w:val="24"/>
          <w:rtl w:val="0"/>
        </w:rPr>
        <w:t xml:space="preserve">Website</w:t>
      </w:r>
      <w:r w:rsidDel="00000000" w:rsidR="00000000" w:rsidRPr="00000000">
        <w:rPr>
          <w:sz w:val="24"/>
          <w:szCs w:val="24"/>
          <w:rtl w:val="0"/>
        </w:rPr>
        <w:t xml:space="preserve">:</w:t>
      </w:r>
      <w:hyperlink r:id="rId6">
        <w:r w:rsidDel="00000000" w:rsidR="00000000" w:rsidRPr="00000000">
          <w:rPr>
            <w:sz w:val="24"/>
            <w:szCs w:val="24"/>
            <w:rtl w:val="0"/>
          </w:rPr>
          <w:t xml:space="preserve"> </w:t>
        </w:r>
      </w:hyperlink>
      <w:hyperlink r:id="rId7">
        <w:r w:rsidDel="00000000" w:rsidR="00000000" w:rsidRPr="00000000">
          <w:rPr>
            <w:color w:val="1155cc"/>
            <w:sz w:val="24"/>
            <w:szCs w:val="24"/>
            <w:u w:val="single"/>
            <w:rtl w:val="0"/>
          </w:rPr>
          <w:t xml:space="preserve">https://sagittarius-horizon.eu/en/</w:t>
        </w:r>
      </w:hyperlink>
      <w:r w:rsidDel="00000000" w:rsidR="00000000" w:rsidRPr="00000000">
        <w:rPr>
          <w:rtl w:val="0"/>
        </w:rPr>
      </w:r>
    </w:p>
    <w:p w:rsidR="00000000" w:rsidDel="00000000" w:rsidP="00000000" w:rsidRDefault="00000000" w:rsidRPr="00000000" w14:paraId="0000000E">
      <w:pPr>
        <w:spacing w:after="240" w:before="240" w:lineRule="auto"/>
        <w:rPr>
          <w:sz w:val="24"/>
          <w:szCs w:val="24"/>
        </w:rPr>
      </w:pPr>
      <w:r w:rsidDel="00000000" w:rsidR="00000000" w:rsidRPr="00000000">
        <w:rPr>
          <w:rtl w:val="0"/>
        </w:rPr>
      </w:r>
    </w:p>
    <w:p w:rsidR="00000000" w:rsidDel="00000000" w:rsidP="00000000" w:rsidRDefault="00000000" w:rsidRPr="00000000" w14:paraId="0000000F">
      <w:pPr>
        <w:spacing w:after="240" w:before="240" w:lineRule="auto"/>
        <w:rPr>
          <w:sz w:val="24"/>
          <w:szCs w:val="24"/>
        </w:rPr>
      </w:pPr>
      <w:r w:rsidDel="00000000" w:rsidR="00000000" w:rsidRPr="00000000">
        <w:rPr>
          <w:sz w:val="24"/>
          <w:szCs w:val="24"/>
          <w:rtl w:val="0"/>
        </w:rPr>
        <w:t xml:space="preserve">SAGITTARIUS ist ein vielschichtiges Projekt mit vier miteinander verbundenen Teilprojekten.</w:t>
      </w:r>
      <w:r w:rsidDel="00000000" w:rsidR="00000000" w:rsidRPr="00000000">
        <w:rPr>
          <w:rtl w:val="0"/>
        </w:rPr>
      </w:r>
    </w:p>
    <w:p w:rsidR="00000000" w:rsidDel="00000000" w:rsidP="00000000" w:rsidRDefault="00000000" w:rsidRPr="00000000" w14:paraId="00000010">
      <w:pPr>
        <w:numPr>
          <w:ilvl w:val="0"/>
          <w:numId w:val="1"/>
        </w:numPr>
        <w:spacing w:after="0" w:afterAutospacing="0" w:before="240" w:lineRule="auto"/>
        <w:ind w:left="720" w:hanging="360"/>
        <w:rPr>
          <w:sz w:val="24"/>
          <w:szCs w:val="24"/>
        </w:rPr>
      </w:pPr>
      <w:r w:rsidDel="00000000" w:rsidR="00000000" w:rsidRPr="00000000">
        <w:rPr>
          <w:sz w:val="24"/>
          <w:szCs w:val="24"/>
          <w:rtl w:val="0"/>
        </w:rPr>
        <w:t xml:space="preserve">Die </w:t>
      </w:r>
      <w:r w:rsidDel="00000000" w:rsidR="00000000" w:rsidRPr="00000000">
        <w:rPr>
          <w:b w:val="1"/>
          <w:sz w:val="24"/>
          <w:szCs w:val="24"/>
          <w:rtl w:val="0"/>
        </w:rPr>
        <w:t xml:space="preserve">klinische SAGITTARIUS-Studie </w:t>
      </w:r>
      <w:r w:rsidDel="00000000" w:rsidR="00000000" w:rsidRPr="00000000">
        <w:rPr>
          <w:sz w:val="24"/>
          <w:szCs w:val="24"/>
          <w:rtl w:val="0"/>
        </w:rPr>
        <w:t xml:space="preserve">besteht aus einer randomisierten klinischen Studie, in der die aktuelle einheitliche Standardbehandlung mit einem personalisierten Pflegeansatz auf der Grundlage der Ergebnisse der Flüssigbiopsie verglichen wird. Die Art der Versorgung der an der Studie beteiligten Patienten richtet sich nach dem Fehlen, Vorhandensein oder Fortbestehen einer minimalen Resterkrankung (MRD), die innerhalb von 4 Wochen nach der Operation mittels Flüssigbiopsie festgestellt wird. An der SAGITTARIUS-Studie werden in 26 Zentren in drei Ländern (Italien, Deutschland und Spanien) etwa 700–900 Personen mit Hochrisiko-Dickdarmkrebs im Stadium II oder III teilnehmen.</w:t>
      </w:r>
    </w:p>
    <w:p w:rsidR="00000000" w:rsidDel="00000000" w:rsidP="00000000" w:rsidRDefault="00000000" w:rsidRPr="00000000" w14:paraId="00000011">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Die </w:t>
      </w:r>
      <w:r w:rsidDel="00000000" w:rsidR="00000000" w:rsidRPr="00000000">
        <w:rPr>
          <w:b w:val="1"/>
          <w:sz w:val="24"/>
          <w:szCs w:val="24"/>
          <w:rtl w:val="0"/>
        </w:rPr>
        <w:t xml:space="preserve">gesundheitsökonomische Teilprojekt </w:t>
      </w:r>
      <w:r w:rsidDel="00000000" w:rsidR="00000000" w:rsidRPr="00000000">
        <w:rPr>
          <w:sz w:val="24"/>
          <w:szCs w:val="24"/>
          <w:rtl w:val="0"/>
        </w:rPr>
        <w:t xml:space="preserve">wird die direkten und indirekten Kostenauswirkungen der Integration der Flüssigbiopsie in die klinische Praxis, die klinischen Ergebnisse und die breiteren gesellschaftlichen Kosten im Zusammenhang mit Darmkrebs messen, einschließlich der Auswirkungen auf Produktivität und Pflegepersonal. Die gesundheitsökonomische Bewertung von SAGITTARIUS könnte die Implementierung kostengünstigerer Behandlungsansätze im medizinischen Alltag ermöglichen.</w:t>
      </w:r>
    </w:p>
    <w:p w:rsidR="00000000" w:rsidDel="00000000" w:rsidP="00000000" w:rsidRDefault="00000000" w:rsidRPr="00000000" w14:paraId="00000012">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In der </w:t>
      </w:r>
      <w:r w:rsidDel="00000000" w:rsidR="00000000" w:rsidRPr="00000000">
        <w:rPr>
          <w:b w:val="1"/>
          <w:sz w:val="24"/>
          <w:szCs w:val="24"/>
          <w:rtl w:val="0"/>
        </w:rPr>
        <w:t xml:space="preserve">Teilprojekt „Lebensqualität“ </w:t>
      </w:r>
      <w:r w:rsidDel="00000000" w:rsidR="00000000" w:rsidRPr="00000000">
        <w:rPr>
          <w:sz w:val="24"/>
          <w:szCs w:val="24"/>
          <w:rtl w:val="0"/>
        </w:rPr>
        <w:t xml:space="preserve">werden die Auswirkungen des klinischen Ansatzes von SAGITTARIUS auf die Lebensqualität der Patienten analysiert.</w:t>
      </w:r>
    </w:p>
    <w:p w:rsidR="00000000" w:rsidDel="00000000" w:rsidP="00000000" w:rsidRDefault="00000000" w:rsidRPr="00000000" w14:paraId="00000013">
      <w:pPr>
        <w:numPr>
          <w:ilvl w:val="0"/>
          <w:numId w:val="1"/>
        </w:numPr>
        <w:spacing w:after="240" w:before="0" w:beforeAutospacing="0" w:lineRule="auto"/>
        <w:ind w:left="720" w:hanging="360"/>
        <w:rPr>
          <w:sz w:val="24"/>
          <w:szCs w:val="24"/>
        </w:rPr>
      </w:pPr>
      <w:r w:rsidDel="00000000" w:rsidR="00000000" w:rsidRPr="00000000">
        <w:rPr>
          <w:sz w:val="24"/>
          <w:szCs w:val="24"/>
          <w:rtl w:val="0"/>
        </w:rPr>
        <w:t xml:space="preserve">Das </w:t>
      </w:r>
      <w:r w:rsidDel="00000000" w:rsidR="00000000" w:rsidRPr="00000000">
        <w:rPr>
          <w:b w:val="1"/>
          <w:sz w:val="24"/>
          <w:szCs w:val="24"/>
          <w:rtl w:val="0"/>
        </w:rPr>
        <w:t xml:space="preserve">Omics-Teilprojekt</w:t>
      </w:r>
      <w:r w:rsidDel="00000000" w:rsidR="00000000" w:rsidRPr="00000000">
        <w:rPr>
          <w:sz w:val="24"/>
          <w:szCs w:val="24"/>
          <w:rtl w:val="0"/>
        </w:rPr>
        <w:t xml:space="preserve">, das separat finanziert wird, wird aus Multi-Omics-Analysen von Tumoren von Patienten bestehen, einschließlich RNA-Sequenzierung und Analysen auf Einzelzellebene, um die biologischen Prozesse aufzudecken, die der Tumorheterogenität zugrunde liegen, und um herauszufinden, warum einige mit größerer Wahrscheinlichkeit zur mikrometastasierenden Erkrankung nach einer Operation führen.</w:t>
      </w:r>
    </w:p>
    <w:p w:rsidR="00000000" w:rsidDel="00000000" w:rsidP="00000000" w:rsidRDefault="00000000" w:rsidRPr="00000000" w14:paraId="00000014">
      <w:pPr>
        <w:spacing w:after="240" w:before="240" w:lineRule="auto"/>
        <w:rPr>
          <w:sz w:val="24"/>
          <w:szCs w:val="24"/>
        </w:rPr>
      </w:pPr>
      <w:r w:rsidDel="00000000" w:rsidR="00000000" w:rsidRPr="00000000">
        <w:rPr>
          <w:rtl w:val="0"/>
        </w:rPr>
      </w:r>
    </w:p>
    <w:p w:rsidR="00000000" w:rsidDel="00000000" w:rsidP="00000000" w:rsidRDefault="00000000" w:rsidRPr="00000000" w14:paraId="00000015">
      <w:pPr>
        <w:pStyle w:val="Heading2"/>
        <w:keepNext w:val="0"/>
        <w:keepLines w:val="0"/>
        <w:spacing w:after="80" w:lineRule="auto"/>
        <w:ind w:left="0" w:firstLine="0"/>
        <w:rPr>
          <w:sz w:val="24"/>
          <w:szCs w:val="24"/>
        </w:rPr>
      </w:pPr>
      <w:bookmarkStart w:colFirst="0" w:colLast="0" w:name="_kc2gilvkdas6" w:id="0"/>
      <w:bookmarkEnd w:id="0"/>
      <w:r w:rsidDel="00000000" w:rsidR="00000000" w:rsidRPr="00000000">
        <w:rPr>
          <w:rFonts w:ascii="Helvetica Neue" w:cs="Helvetica Neue" w:eastAsia="Helvetica Neue" w:hAnsi="Helvetica Neue"/>
          <w:b w:val="1"/>
          <w:color w:val="0e5872"/>
          <w:sz w:val="34"/>
          <w:szCs w:val="34"/>
          <w:rtl w:val="0"/>
        </w:rPr>
        <w:t xml:space="preserve">SAGITTARIUS-Partner</w:t>
      </w:r>
      <w:r w:rsidDel="00000000" w:rsidR="00000000" w:rsidRPr="00000000">
        <w:rPr>
          <w:rtl w:val="0"/>
        </w:rPr>
      </w:r>
    </w:p>
    <w:p w:rsidR="00000000" w:rsidDel="00000000" w:rsidP="00000000" w:rsidRDefault="00000000" w:rsidRPr="00000000" w14:paraId="00000016">
      <w:pPr>
        <w:numPr>
          <w:ilvl w:val="0"/>
          <w:numId w:val="1"/>
        </w:numPr>
        <w:spacing w:after="0" w:afterAutospacing="0" w:before="240" w:lineRule="auto"/>
        <w:ind w:left="720" w:hanging="360"/>
        <w:rPr>
          <w:sz w:val="24"/>
          <w:szCs w:val="24"/>
        </w:rPr>
      </w:pPr>
      <w:r w:rsidDel="00000000" w:rsidR="00000000" w:rsidRPr="00000000">
        <w:rPr>
          <w:b w:val="1"/>
          <w:sz w:val="24"/>
          <w:szCs w:val="24"/>
          <w:rtl w:val="0"/>
        </w:rPr>
        <w:t xml:space="preserve">IFOM</w:t>
      </w:r>
      <w:r w:rsidDel="00000000" w:rsidR="00000000" w:rsidRPr="00000000">
        <w:rPr>
          <w:sz w:val="24"/>
          <w:szCs w:val="24"/>
          <w:rtl w:val="0"/>
        </w:rPr>
        <w:t xml:space="preserve"> – das AIRC Institute of Molecular Oncology ETS (Mailand, Italien), unter der wissenschaftlichen Koordination von Silvia Marsoni, Leiterin der Abteilung für Präzisionsonkologie am IFOM. </w:t>
      </w:r>
      <w:hyperlink r:id="rId8">
        <w:r w:rsidDel="00000000" w:rsidR="00000000" w:rsidRPr="00000000">
          <w:rPr>
            <w:color w:val="1155cc"/>
            <w:sz w:val="24"/>
            <w:szCs w:val="24"/>
            <w:u w:val="single"/>
            <w:rtl w:val="0"/>
          </w:rPr>
          <w:t xml:space="preserve">IFOM</w:t>
        </w:r>
      </w:hyperlink>
      <w:r w:rsidDel="00000000" w:rsidR="00000000" w:rsidRPr="00000000">
        <w:rPr>
          <w:sz w:val="24"/>
          <w:szCs w:val="24"/>
          <w:rtl w:val="0"/>
        </w:rPr>
        <w:t xml:space="preserve"> wurde 1998 gegründet und ist ein Krebsforschungsinstitut, das sich auf die multidisziplinäre Untersuchung der Krebsentstehung und -entwicklung auf molekularer Ebene konzentriert, mit dem Ziel einer schnellen Übertragung der Ergebnisse vom Labor ans Krankenbett.</w:t>
      </w:r>
      <w:r w:rsidDel="00000000" w:rsidR="00000000" w:rsidRPr="00000000">
        <w:rPr>
          <w:rtl w:val="0"/>
        </w:rPr>
      </w:r>
    </w:p>
    <w:p w:rsidR="00000000" w:rsidDel="00000000" w:rsidP="00000000" w:rsidRDefault="00000000" w:rsidRPr="00000000" w14:paraId="00000017">
      <w:pPr>
        <w:numPr>
          <w:ilvl w:val="0"/>
          <w:numId w:val="1"/>
        </w:numPr>
        <w:spacing w:after="0" w:afterAutospacing="0" w:before="0" w:beforeAutospacing="0" w:lineRule="auto"/>
        <w:ind w:left="720" w:hanging="360"/>
        <w:rPr>
          <w:sz w:val="24"/>
          <w:szCs w:val="24"/>
        </w:rPr>
      </w:pPr>
      <w:r w:rsidDel="00000000" w:rsidR="00000000" w:rsidRPr="00000000">
        <w:rPr>
          <w:b w:val="1"/>
          <w:sz w:val="24"/>
          <w:szCs w:val="24"/>
          <w:rtl w:val="0"/>
        </w:rPr>
        <w:t xml:space="preserve">Cogentech</w:t>
      </w:r>
      <w:r w:rsidDel="00000000" w:rsidR="00000000" w:rsidRPr="00000000">
        <w:rPr>
          <w:sz w:val="24"/>
          <w:szCs w:val="24"/>
          <w:rtl w:val="0"/>
        </w:rPr>
        <w:t xml:space="preserve"> (Mailand, Italien), angeschlossener IFOM-Partner. Das 2011 gegründete Konsortium für genomische Technologien Società Benefit Srl (</w:t>
      </w:r>
      <w:hyperlink r:id="rId9">
        <w:r w:rsidDel="00000000" w:rsidR="00000000" w:rsidRPr="00000000">
          <w:rPr>
            <w:color w:val="1155cc"/>
            <w:sz w:val="24"/>
            <w:szCs w:val="24"/>
            <w:u w:val="single"/>
            <w:rtl w:val="0"/>
          </w:rPr>
          <w:t xml:space="preserve">Cogentech</w:t>
        </w:r>
      </w:hyperlink>
      <w:r w:rsidDel="00000000" w:rsidR="00000000" w:rsidRPr="00000000">
        <w:rPr>
          <w:sz w:val="24"/>
          <w:szCs w:val="24"/>
          <w:rtl w:val="0"/>
        </w:rPr>
        <w:t xml:space="preserve">) bietet Forschern und Klinikern wissenschaftliche und diagnostische Dienstleistungen an. </w:t>
      </w:r>
    </w:p>
    <w:p w:rsidR="00000000" w:rsidDel="00000000" w:rsidP="00000000" w:rsidRDefault="00000000" w:rsidRPr="00000000" w14:paraId="00000018">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Fondazione </w:t>
      </w:r>
      <w:r w:rsidDel="00000000" w:rsidR="00000000" w:rsidRPr="00000000">
        <w:rPr>
          <w:b w:val="1"/>
          <w:sz w:val="24"/>
          <w:szCs w:val="24"/>
          <w:rtl w:val="0"/>
        </w:rPr>
        <w:t xml:space="preserve">AIRC </w:t>
      </w:r>
      <w:r w:rsidDel="00000000" w:rsidR="00000000" w:rsidRPr="00000000">
        <w:rPr>
          <w:sz w:val="24"/>
          <w:szCs w:val="24"/>
          <w:rtl w:val="0"/>
        </w:rPr>
        <w:t xml:space="preserve">per la Ricerca sul Cancro ETS (</w:t>
      </w:r>
      <w:r w:rsidDel="00000000" w:rsidR="00000000" w:rsidRPr="00000000">
        <w:rPr>
          <w:rFonts w:ascii="Helvetica Neue" w:cs="Helvetica Neue" w:eastAsia="Helvetica Neue" w:hAnsi="Helvetica Neue"/>
          <w:sz w:val="24"/>
          <w:szCs w:val="24"/>
          <w:rtl w:val="0"/>
        </w:rPr>
        <w:t xml:space="preserve">AIRC-Stiftung für Krebsforschung, </w:t>
      </w:r>
      <w:r w:rsidDel="00000000" w:rsidR="00000000" w:rsidRPr="00000000">
        <w:rPr>
          <w:sz w:val="24"/>
          <w:szCs w:val="24"/>
          <w:rtl w:val="0"/>
        </w:rPr>
        <w:t xml:space="preserve">Milan, Italy).</w:t>
      </w:r>
      <w:hyperlink r:id="rId10">
        <w:r w:rsidDel="00000000" w:rsidR="00000000" w:rsidRPr="00000000">
          <w:rPr>
            <w:sz w:val="24"/>
            <w:szCs w:val="24"/>
            <w:rtl w:val="0"/>
          </w:rPr>
          <w:t xml:space="preserve"> </w:t>
        </w:r>
      </w:hyperlink>
      <w:hyperlink r:id="rId11">
        <w:r w:rsidDel="00000000" w:rsidR="00000000" w:rsidRPr="00000000">
          <w:rPr>
            <w:color w:val="1155cc"/>
            <w:sz w:val="24"/>
            <w:szCs w:val="24"/>
            <w:u w:val="single"/>
            <w:rtl w:val="0"/>
          </w:rPr>
          <w:t xml:space="preserve">AIRC</w:t>
        </w:r>
      </w:hyperlink>
      <w:r w:rsidDel="00000000" w:rsidR="00000000" w:rsidRPr="00000000">
        <w:rPr>
          <w:sz w:val="24"/>
          <w:szCs w:val="24"/>
          <w:rtl w:val="0"/>
        </w:rPr>
        <w:t xml:space="preserve"> ist eine 1965 gegründete Stiftung, die den Fortschritt der Krebsforschung durch Fundraising unterstützt und genaue Informationen über Prävention, therapeutische Aussichten und die durch ihre Zuschüsse erzielten Ergebnisse verbreitet.</w:t>
      </w:r>
    </w:p>
    <w:p w:rsidR="00000000" w:rsidDel="00000000" w:rsidP="00000000" w:rsidRDefault="00000000" w:rsidRPr="00000000" w14:paraId="00000019">
      <w:pPr>
        <w:numPr>
          <w:ilvl w:val="0"/>
          <w:numId w:val="1"/>
        </w:numPr>
        <w:spacing w:after="0" w:afterAutospacing="0" w:before="0" w:beforeAutospacing="0" w:lineRule="auto"/>
        <w:ind w:left="720" w:hanging="360"/>
        <w:rPr>
          <w:sz w:val="24"/>
          <w:szCs w:val="24"/>
        </w:rPr>
      </w:pPr>
      <w:r w:rsidDel="00000000" w:rsidR="00000000" w:rsidRPr="00000000">
        <w:rPr>
          <w:b w:val="1"/>
          <w:sz w:val="24"/>
          <w:szCs w:val="24"/>
          <w:rtl w:val="0"/>
        </w:rPr>
        <w:t xml:space="preserve">Forschungsinstitut Hospital del Mar </w:t>
      </w:r>
      <w:r w:rsidDel="00000000" w:rsidR="00000000" w:rsidRPr="00000000">
        <w:rPr>
          <w:sz w:val="24"/>
          <w:szCs w:val="24"/>
          <w:rtl w:val="0"/>
        </w:rPr>
        <w:t xml:space="preserve">(</w:t>
      </w:r>
      <w:r w:rsidDel="00000000" w:rsidR="00000000" w:rsidRPr="00000000">
        <w:rPr>
          <w:b w:val="1"/>
          <w:sz w:val="24"/>
          <w:szCs w:val="24"/>
          <w:rtl w:val="0"/>
        </w:rPr>
        <w:t xml:space="preserve">HMRIB</w:t>
      </w:r>
      <w:r w:rsidDel="00000000" w:rsidR="00000000" w:rsidRPr="00000000">
        <w:rPr>
          <w:sz w:val="24"/>
          <w:szCs w:val="24"/>
          <w:rtl w:val="0"/>
        </w:rPr>
        <w:t xml:space="preserve">) (Barcelona, Spanien). </w:t>
      </w:r>
      <w:hyperlink r:id="rId12">
        <w:r w:rsidDel="00000000" w:rsidR="00000000" w:rsidRPr="00000000">
          <w:rPr>
            <w:color w:val="1155cc"/>
            <w:sz w:val="24"/>
            <w:szCs w:val="24"/>
            <w:u w:val="single"/>
            <w:rtl w:val="0"/>
          </w:rPr>
          <w:t xml:space="preserve">HMRIB</w:t>
        </w:r>
      </w:hyperlink>
      <w:r w:rsidDel="00000000" w:rsidR="00000000" w:rsidRPr="00000000">
        <w:rPr>
          <w:sz w:val="24"/>
          <w:szCs w:val="24"/>
          <w:rtl w:val="0"/>
        </w:rPr>
        <w:t xml:space="preserve"> ist eine 1948 gegründete öffentliche Organisation, die sich der wissenschaftlichen Forschung in den Bereichen Biomedizin und Gesundheitswissenschaften widmet.</w:t>
      </w:r>
    </w:p>
    <w:p w:rsidR="00000000" w:rsidDel="00000000" w:rsidP="00000000" w:rsidRDefault="00000000" w:rsidRPr="00000000" w14:paraId="0000001A">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Das </w:t>
      </w:r>
      <w:r w:rsidDel="00000000" w:rsidR="00000000" w:rsidRPr="00000000">
        <w:rPr>
          <w:b w:val="1"/>
          <w:sz w:val="24"/>
          <w:szCs w:val="24"/>
          <w:rtl w:val="0"/>
        </w:rPr>
        <w:t xml:space="preserve">Forschungszentrum für Gesundheits- und Sozialmanagement </w:t>
      </w:r>
      <w:r w:rsidDel="00000000" w:rsidR="00000000" w:rsidRPr="00000000">
        <w:rPr>
          <w:sz w:val="24"/>
          <w:szCs w:val="24"/>
          <w:rtl w:val="0"/>
        </w:rPr>
        <w:t xml:space="preserve">(CERGAS)</w:t>
      </w:r>
      <w:r w:rsidDel="00000000" w:rsidR="00000000" w:rsidRPr="00000000">
        <w:rPr>
          <w:b w:val="1"/>
          <w:sz w:val="24"/>
          <w:szCs w:val="24"/>
          <w:rtl w:val="0"/>
        </w:rPr>
        <w:t xml:space="preserve"> </w:t>
      </w:r>
      <w:r w:rsidDel="00000000" w:rsidR="00000000" w:rsidRPr="00000000">
        <w:rPr>
          <w:sz w:val="24"/>
          <w:szCs w:val="24"/>
          <w:rtl w:val="0"/>
        </w:rPr>
        <w:t xml:space="preserve">der </w:t>
      </w:r>
      <w:r w:rsidDel="00000000" w:rsidR="00000000" w:rsidRPr="00000000">
        <w:rPr>
          <w:b w:val="1"/>
          <w:sz w:val="24"/>
          <w:szCs w:val="24"/>
          <w:rtl w:val="0"/>
        </w:rPr>
        <w:t xml:space="preserve">Universität Bocconi </w:t>
      </w:r>
      <w:r w:rsidDel="00000000" w:rsidR="00000000" w:rsidRPr="00000000">
        <w:rPr>
          <w:sz w:val="24"/>
          <w:szCs w:val="24"/>
          <w:rtl w:val="0"/>
        </w:rPr>
        <w:t xml:space="preserve">(Mailand, Italien). </w:t>
      </w:r>
      <w:hyperlink r:id="rId13">
        <w:r w:rsidDel="00000000" w:rsidR="00000000" w:rsidRPr="00000000">
          <w:rPr>
            <w:color w:val="1155cc"/>
            <w:sz w:val="24"/>
            <w:szCs w:val="24"/>
            <w:u w:val="single"/>
            <w:rtl w:val="0"/>
          </w:rPr>
          <w:t xml:space="preserve">CERGAS</w:t>
        </w:r>
      </w:hyperlink>
      <w:r w:rsidDel="00000000" w:rsidR="00000000" w:rsidRPr="00000000">
        <w:rPr>
          <w:sz w:val="24"/>
          <w:szCs w:val="24"/>
          <w:rtl w:val="0"/>
        </w:rPr>
        <w:t xml:space="preserve"> wurde 1978 gegründet, um die wissenschaftliche Forschung zum Gesundheitsmanagement auf nationaler und internationaler Ebene zu fördern und trägt zur Forschung und Innovation im Gesundheitssektor bei.</w:t>
      </w:r>
    </w:p>
    <w:p w:rsidR="00000000" w:rsidDel="00000000" w:rsidP="00000000" w:rsidRDefault="00000000" w:rsidRPr="00000000" w14:paraId="0000001B">
      <w:pPr>
        <w:numPr>
          <w:ilvl w:val="0"/>
          <w:numId w:val="1"/>
        </w:numPr>
        <w:spacing w:after="0" w:afterAutospacing="0" w:before="0" w:beforeAutospacing="0" w:lineRule="auto"/>
        <w:ind w:left="720" w:hanging="360"/>
        <w:rPr>
          <w:sz w:val="24"/>
          <w:szCs w:val="24"/>
        </w:rPr>
      </w:pPr>
      <w:r w:rsidDel="00000000" w:rsidR="00000000" w:rsidRPr="00000000">
        <w:rPr>
          <w:b w:val="1"/>
          <w:sz w:val="24"/>
          <w:szCs w:val="24"/>
          <w:rtl w:val="0"/>
        </w:rPr>
        <w:t xml:space="preserve">Digestive Cancers Europe</w:t>
      </w:r>
      <w:r w:rsidDel="00000000" w:rsidR="00000000" w:rsidRPr="00000000">
        <w:rPr>
          <w:sz w:val="24"/>
          <w:szCs w:val="24"/>
          <w:rtl w:val="0"/>
        </w:rPr>
        <w:t xml:space="preserve"> (</w:t>
      </w:r>
      <w:r w:rsidDel="00000000" w:rsidR="00000000" w:rsidRPr="00000000">
        <w:rPr>
          <w:b w:val="1"/>
          <w:sz w:val="24"/>
          <w:szCs w:val="24"/>
          <w:rtl w:val="0"/>
        </w:rPr>
        <w:t xml:space="preserve">DiCE</w:t>
      </w:r>
      <w:r w:rsidDel="00000000" w:rsidR="00000000" w:rsidRPr="00000000">
        <w:rPr>
          <w:sz w:val="24"/>
          <w:szCs w:val="24"/>
          <w:rtl w:val="0"/>
        </w:rPr>
        <w:t xml:space="preserve">) (Brüssel, Belgien).</w:t>
      </w:r>
      <w:hyperlink r:id="rId14">
        <w:r w:rsidDel="00000000" w:rsidR="00000000" w:rsidRPr="00000000">
          <w:rPr>
            <w:sz w:val="24"/>
            <w:szCs w:val="24"/>
            <w:rtl w:val="0"/>
          </w:rPr>
          <w:t xml:space="preserve"> </w:t>
        </w:r>
      </w:hyperlink>
      <w:hyperlink r:id="rId15">
        <w:r w:rsidDel="00000000" w:rsidR="00000000" w:rsidRPr="00000000">
          <w:rPr>
            <w:color w:val="1155cc"/>
            <w:sz w:val="24"/>
            <w:szCs w:val="24"/>
            <w:u w:val="single"/>
            <w:rtl w:val="0"/>
          </w:rPr>
          <w:t xml:space="preserve">DiCE</w:t>
        </w:r>
      </w:hyperlink>
      <w:r w:rsidDel="00000000" w:rsidR="00000000" w:rsidRPr="00000000">
        <w:rPr>
          <w:sz w:val="24"/>
          <w:szCs w:val="24"/>
          <w:rtl w:val="0"/>
        </w:rPr>
        <w:t xml:space="preserve"> ist eine europäische gemeinnützige Dachorganisation, die Patientenorganisationen vereint und mit Interessenvertretern zusammenarbeitet, die sich mit Verdauungskrebs befassen. Sie umfasst mittlerweile 38 Mitgliedsorganisationen in 32 Ländern, die Patienten mit Verdauungskrebs vertreten, mit dem Ziel, zur Früherkennung und Senkung der Mortalität durch Verdauungskrebs beizutragen und das Gesamtüberleben und die Lebensqualität zu erhöhen.</w:t>
      </w:r>
    </w:p>
    <w:p w:rsidR="00000000" w:rsidDel="00000000" w:rsidP="00000000" w:rsidRDefault="00000000" w:rsidRPr="00000000" w14:paraId="0000001C">
      <w:pPr>
        <w:numPr>
          <w:ilvl w:val="0"/>
          <w:numId w:val="1"/>
        </w:numPr>
        <w:spacing w:after="0" w:afterAutospacing="0" w:before="0" w:beforeAutospacing="0" w:lineRule="auto"/>
        <w:ind w:left="720" w:hanging="360"/>
        <w:rPr>
          <w:sz w:val="24"/>
          <w:szCs w:val="24"/>
        </w:rPr>
      </w:pPr>
      <w:r w:rsidDel="00000000" w:rsidR="00000000" w:rsidRPr="00000000">
        <w:rPr>
          <w:b w:val="1"/>
          <w:sz w:val="24"/>
          <w:szCs w:val="24"/>
          <w:rtl w:val="0"/>
        </w:rPr>
        <w:t xml:space="preserve">SporeData </w:t>
      </w:r>
      <w:r w:rsidDel="00000000" w:rsidR="00000000" w:rsidRPr="00000000">
        <w:rPr>
          <w:sz w:val="24"/>
          <w:szCs w:val="24"/>
          <w:rtl w:val="0"/>
        </w:rPr>
        <w:t xml:space="preserve">OU (Tallinn, Estland) ist ein Unternehmen, das sich auf die Konzeption und Durchführung von Data-Science-Projekten in Zusammenarbeit mit akademischen Einrichtungen und Unternehmen im Gesundheitswesen in Europa konzentriert. Das Unternehmen verfügt über umfangreiche Erfahrung in Studien mit datenwissenschaftlichen Methoden wie Natural Language Processing, Deep Learning-Bilderkennung, maschinellem Lernen und Bayes'schen Netzwerken, die in verschiedenen klinischen Kontexten angewendet werden. Das Portfolio von </w:t>
      </w:r>
      <w:hyperlink r:id="rId16">
        <w:r w:rsidDel="00000000" w:rsidR="00000000" w:rsidRPr="00000000">
          <w:rPr>
            <w:color w:val="1155cc"/>
            <w:sz w:val="24"/>
            <w:szCs w:val="24"/>
            <w:u w:val="single"/>
            <w:rtl w:val="0"/>
          </w:rPr>
          <w:t xml:space="preserve">SporeData</w:t>
        </w:r>
      </w:hyperlink>
      <w:r w:rsidDel="00000000" w:rsidR="00000000" w:rsidRPr="00000000">
        <w:rPr>
          <w:sz w:val="24"/>
          <w:szCs w:val="24"/>
          <w:rtl w:val="0"/>
        </w:rPr>
        <w:t xml:space="preserve"> umfasst beispielsweise die Entwicklung von Webanwendungen zur Vorhersage von Patientenkosten und -ergebnissen wie Überleben, Komplikationen und Rückübernahmen sowie Disparitätskarten.</w:t>
      </w:r>
    </w:p>
    <w:p w:rsidR="00000000" w:rsidDel="00000000" w:rsidP="00000000" w:rsidRDefault="00000000" w:rsidRPr="00000000" w14:paraId="0000001D">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Das </w:t>
      </w:r>
      <w:r w:rsidDel="00000000" w:rsidR="00000000" w:rsidRPr="00000000">
        <w:rPr>
          <w:b w:val="1"/>
          <w:sz w:val="24"/>
          <w:szCs w:val="24"/>
          <w:rtl w:val="0"/>
        </w:rPr>
        <w:t xml:space="preserve">Vall d'Hebron Institute of Oncology </w:t>
      </w:r>
      <w:r w:rsidDel="00000000" w:rsidR="00000000" w:rsidRPr="00000000">
        <w:rPr>
          <w:sz w:val="24"/>
          <w:szCs w:val="24"/>
          <w:rtl w:val="0"/>
        </w:rPr>
        <w:t xml:space="preserve">(</w:t>
      </w:r>
      <w:r w:rsidDel="00000000" w:rsidR="00000000" w:rsidRPr="00000000">
        <w:rPr>
          <w:b w:val="1"/>
          <w:sz w:val="24"/>
          <w:szCs w:val="24"/>
          <w:rtl w:val="0"/>
        </w:rPr>
        <w:t xml:space="preserve">VHIO</w:t>
      </w:r>
      <w:r w:rsidDel="00000000" w:rsidR="00000000" w:rsidRPr="00000000">
        <w:rPr>
          <w:sz w:val="24"/>
          <w:szCs w:val="24"/>
          <w:rtl w:val="0"/>
        </w:rPr>
        <w:t xml:space="preserve">) (Barcelona, Spanien) ist eines der führenden integrierten Krebszentren Europas. Durch sein innovatives Modell der multidisziplinären und translationalen Forschung übersetzt </w:t>
      </w:r>
      <w:hyperlink r:id="rId17">
        <w:r w:rsidDel="00000000" w:rsidR="00000000" w:rsidRPr="00000000">
          <w:rPr>
            <w:color w:val="1155cc"/>
            <w:sz w:val="24"/>
            <w:szCs w:val="24"/>
            <w:u w:val="single"/>
            <w:rtl w:val="0"/>
          </w:rPr>
          <w:t xml:space="preserve">VHIO</w:t>
        </w:r>
      </w:hyperlink>
      <w:r w:rsidDel="00000000" w:rsidR="00000000" w:rsidRPr="00000000">
        <w:rPr>
          <w:sz w:val="24"/>
          <w:szCs w:val="24"/>
          <w:rtl w:val="0"/>
        </w:rPr>
        <w:t xml:space="preserve"> nahtlos innovative Laborentdeckungen in frühe klinische Studien und eröffnet so den Patienten neue Möglichkeiten.</w:t>
      </w:r>
    </w:p>
    <w:p w:rsidR="00000000" w:rsidDel="00000000" w:rsidP="00000000" w:rsidRDefault="00000000" w:rsidRPr="00000000" w14:paraId="0000001E">
      <w:pPr>
        <w:numPr>
          <w:ilvl w:val="0"/>
          <w:numId w:val="1"/>
        </w:numPr>
        <w:spacing w:after="240" w:before="0" w:beforeAutospacing="0" w:lineRule="auto"/>
        <w:ind w:left="720" w:hanging="360"/>
        <w:rPr>
          <w:sz w:val="24"/>
          <w:szCs w:val="24"/>
        </w:rPr>
      </w:pPr>
      <w:r w:rsidDel="00000000" w:rsidR="00000000" w:rsidRPr="00000000">
        <w:rPr>
          <w:b w:val="1"/>
          <w:sz w:val="24"/>
          <w:szCs w:val="24"/>
          <w:rtl w:val="0"/>
        </w:rPr>
        <w:t xml:space="preserve">Charité – Universitätsmedizin Berlin</w:t>
      </w:r>
      <w:r w:rsidDel="00000000" w:rsidR="00000000" w:rsidRPr="00000000">
        <w:rPr>
          <w:sz w:val="24"/>
          <w:szCs w:val="24"/>
          <w:rtl w:val="0"/>
        </w:rPr>
        <w:t xml:space="preserve"> (Berlin, Deutschland). Die 1710 gegründete </w:t>
      </w:r>
      <w:hyperlink r:id="rId18">
        <w:r w:rsidDel="00000000" w:rsidR="00000000" w:rsidRPr="00000000">
          <w:rPr>
            <w:color w:val="1155cc"/>
            <w:sz w:val="24"/>
            <w:szCs w:val="24"/>
            <w:u w:val="single"/>
            <w:rtl w:val="0"/>
          </w:rPr>
          <w:t xml:space="preserve">Charité – Universitätsmedizin Berlin</w:t>
        </w:r>
      </w:hyperlink>
      <w:r w:rsidDel="00000000" w:rsidR="00000000" w:rsidRPr="00000000">
        <w:rPr>
          <w:sz w:val="24"/>
          <w:szCs w:val="24"/>
          <w:rtl w:val="0"/>
        </w:rPr>
        <w:t xml:space="preserve"> ist eines der größten Universitätskliniken Europas, das der Humboldt-Universität und der Freien Universität Berlin angegliedert ist. Es ist international für seine Exzellenz in der klinischen Versorgung, Forschung, Lehre und Ausbildung bekannt. Bei der Charité haben Wissenschaftler gewirkt, die die Geschichte der Medizin geprägt haben, wie Robert Koch und Rudolf Virchow, aber auch Nobelpreisträger wie Emil von Behring, Paul Ehrlich sowie Robert Koch.</w:t>
      </w:r>
    </w:p>
    <w:p w:rsidR="00000000" w:rsidDel="00000000" w:rsidP="00000000" w:rsidRDefault="00000000" w:rsidRPr="00000000" w14:paraId="0000001F">
      <w:pPr>
        <w:rPr>
          <w:sz w:val="24"/>
          <w:szCs w:val="24"/>
        </w:rPr>
      </w:pPr>
      <w:r w:rsidDel="00000000" w:rsidR="00000000" w:rsidRPr="00000000">
        <w:rPr>
          <w:sz w:val="24"/>
          <w:szCs w:val="24"/>
          <w:rtl w:val="0"/>
        </w:rPr>
        <w:t xml:space="preserve">Für mehr Informationen: </w:t>
      </w:r>
      <w:hyperlink r:id="rId19">
        <w:r w:rsidDel="00000000" w:rsidR="00000000" w:rsidRPr="00000000">
          <w:rPr>
            <w:color w:val="1155cc"/>
            <w:sz w:val="24"/>
            <w:szCs w:val="24"/>
            <w:u w:val="single"/>
            <w:rtl w:val="0"/>
          </w:rPr>
          <w:t xml:space="preserve">https://sagittarius-horizon.eu/de/ressourcen/</w:t>
        </w:r>
      </w:hyperlink>
      <w:r w:rsidDel="00000000" w:rsidR="00000000" w:rsidRPr="00000000">
        <w:rPr>
          <w:sz w:val="24"/>
          <w:szCs w:val="24"/>
          <w:rtl w:val="0"/>
        </w:rPr>
        <w:t xml:space="preserve"> </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24">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9" name="image2.png"/>
            <a:graphic>
              <a:graphicData uri="http://schemas.openxmlformats.org/drawingml/2006/picture">
                <pic:pic>
                  <pic:nvPicPr>
                    <pic:cNvPr id="0" name="image2.png"/>
                    <pic:cNvPicPr preferRelativeResize="0"/>
                  </pic:nvPicPr>
                  <pic:blipFill>
                    <a:blip r:embed="rId20"/>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12" name="image9.png"/>
            <a:graphic>
              <a:graphicData uri="http://schemas.openxmlformats.org/drawingml/2006/picture">
                <pic:pic>
                  <pic:nvPicPr>
                    <pic:cNvPr id="0" name="image9.png"/>
                    <pic:cNvPicPr preferRelativeResize="0"/>
                  </pic:nvPicPr>
                  <pic:blipFill>
                    <a:blip r:embed="rId21"/>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8" name="image13.png"/>
            <a:graphic>
              <a:graphicData uri="http://schemas.openxmlformats.org/drawingml/2006/picture">
                <pic:pic>
                  <pic:nvPicPr>
                    <pic:cNvPr id="0" name="image13.png"/>
                    <pic:cNvPicPr preferRelativeResize="0"/>
                  </pic:nvPicPr>
                  <pic:blipFill>
                    <a:blip r:embed="rId22"/>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1" name="image11.png"/>
            <a:graphic>
              <a:graphicData uri="http://schemas.openxmlformats.org/drawingml/2006/picture">
                <pic:pic>
                  <pic:nvPicPr>
                    <pic:cNvPr id="0" name="image11.png"/>
                    <pic:cNvPicPr preferRelativeResize="0"/>
                  </pic:nvPicPr>
                  <pic:blipFill>
                    <a:blip r:embed="rId23"/>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25">
      <w:pPr>
        <w:jc w:val="center"/>
        <w:rPr>
          <w:sz w:val="20"/>
          <w:szCs w:val="20"/>
        </w:rPr>
      </w:pPr>
      <w:r w:rsidDel="00000000" w:rsidR="00000000" w:rsidRPr="00000000">
        <w:rPr>
          <w:rtl w:val="0"/>
        </w:rPr>
      </w:r>
    </w:p>
    <w:p w:rsidR="00000000" w:rsidDel="00000000" w:rsidP="00000000" w:rsidRDefault="00000000" w:rsidRPr="00000000" w14:paraId="00000026">
      <w:pPr>
        <w:jc w:val="center"/>
        <w:rPr>
          <w:sz w:val="12"/>
          <w:szCs w:val="12"/>
        </w:rPr>
      </w:pPr>
      <w:r w:rsidDel="00000000" w:rsidR="00000000" w:rsidRPr="00000000">
        <w:rPr>
          <w:rtl w:val="0"/>
        </w:rPr>
      </w:r>
    </w:p>
    <w:p w:rsidR="00000000" w:rsidDel="00000000" w:rsidP="00000000" w:rsidRDefault="00000000" w:rsidRPr="00000000" w14:paraId="00000027">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28">
      <w:pPr>
        <w:jc w:val="center"/>
        <w:rPr/>
      </w:pPr>
      <w:r w:rsidDel="00000000" w:rsidR="00000000" w:rsidRPr="00000000">
        <w:rPr/>
        <w:drawing>
          <wp:inline distB="114300" distT="114300" distL="114300" distR="114300">
            <wp:extent cx="504825" cy="190500"/>
            <wp:effectExtent b="0" l="0" r="0" t="0"/>
            <wp:docPr id="7" name="image12.png"/>
            <a:graphic>
              <a:graphicData uri="http://schemas.openxmlformats.org/drawingml/2006/picture">
                <pic:pic>
                  <pic:nvPicPr>
                    <pic:cNvPr id="0" name="image12.png"/>
                    <pic:cNvPicPr preferRelativeResize="0"/>
                  </pic:nvPicPr>
                  <pic:blipFill>
                    <a:blip r:embed="rId24"/>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5" name="image10.png"/>
            <a:graphic>
              <a:graphicData uri="http://schemas.openxmlformats.org/drawingml/2006/picture">
                <pic:pic>
                  <pic:nvPicPr>
                    <pic:cNvPr id="0" name="image10.png"/>
                    <pic:cNvPicPr preferRelativeResize="0"/>
                  </pic:nvPicPr>
                  <pic:blipFill>
                    <a:blip r:embed="rId25"/>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4" name="image5.png"/>
            <a:graphic>
              <a:graphicData uri="http://schemas.openxmlformats.org/drawingml/2006/picture">
                <pic:pic>
                  <pic:nvPicPr>
                    <pic:cNvPr id="0" name="image5.png"/>
                    <pic:cNvPicPr preferRelativeResize="0"/>
                  </pic:nvPicPr>
                  <pic:blipFill>
                    <a:blip r:embed="rId26"/>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2" name="image13.png"/>
            <a:graphic>
              <a:graphicData uri="http://schemas.openxmlformats.org/drawingml/2006/picture">
                <pic:pic>
                  <pic:nvPicPr>
                    <pic:cNvPr id="0" name="image13.png"/>
                    <pic:cNvPicPr preferRelativeResize="0"/>
                  </pic:nvPicPr>
                  <pic:blipFill>
                    <a:blip r:embed="rId22"/>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6" name="image1.png"/>
            <a:graphic>
              <a:graphicData uri="http://schemas.openxmlformats.org/drawingml/2006/picture">
                <pic:pic>
                  <pic:nvPicPr>
                    <pic:cNvPr id="0" name="image1.png"/>
                    <pic:cNvPicPr preferRelativeResize="0"/>
                  </pic:nvPicPr>
                  <pic:blipFill>
                    <a:blip r:embed="rId27"/>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13" name="image7.png"/>
            <a:graphic>
              <a:graphicData uri="http://schemas.openxmlformats.org/drawingml/2006/picture">
                <pic:pic>
                  <pic:nvPicPr>
                    <pic:cNvPr id="0" name="image7.png"/>
                    <pic:cNvPicPr preferRelativeResize="0"/>
                  </pic:nvPicPr>
                  <pic:blipFill>
                    <a:blip r:embed="rId28"/>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11" name="image14.png"/>
            <a:graphic>
              <a:graphicData uri="http://schemas.openxmlformats.org/drawingml/2006/picture">
                <pic:pic>
                  <pic:nvPicPr>
                    <pic:cNvPr id="0" name="image14.png"/>
                    <pic:cNvPicPr preferRelativeResize="0"/>
                  </pic:nvPicPr>
                  <pic:blipFill>
                    <a:blip r:embed="rId29"/>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14" name="image6.png"/>
            <a:graphic>
              <a:graphicData uri="http://schemas.openxmlformats.org/drawingml/2006/picture">
                <pic:pic>
                  <pic:nvPicPr>
                    <pic:cNvPr id="0" name="image6.png"/>
                    <pic:cNvPicPr preferRelativeResize="0"/>
                  </pic:nvPicPr>
                  <pic:blipFill>
                    <a:blip r:embed="rId30"/>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3" name="image11.png"/>
            <a:graphic>
              <a:graphicData uri="http://schemas.openxmlformats.org/drawingml/2006/picture">
                <pic:pic>
                  <pic:nvPicPr>
                    <pic:cNvPr id="0" name="image11.png"/>
                    <pic:cNvPicPr preferRelativeResize="0"/>
                  </pic:nvPicPr>
                  <pic:blipFill>
                    <a:blip r:embed="rId23"/>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drawing>
          <wp:inline distB="114300" distT="114300" distL="114300" distR="114300">
            <wp:extent cx="5745600" cy="812800"/>
            <wp:effectExtent b="0" l="0" r="0" t="0"/>
            <wp:docPr id="16" name="image8.png"/>
            <a:graphic>
              <a:graphicData uri="http://schemas.openxmlformats.org/drawingml/2006/picture">
                <pic:pic>
                  <pic:nvPicPr>
                    <pic:cNvPr id="0" name="image8.png"/>
                    <pic:cNvPicPr preferRelativeResize="0"/>
                  </pic:nvPicPr>
                  <pic:blipFill>
                    <a:blip r:embed="rId31"/>
                    <a:srcRect b="0" l="0" r="0" t="0"/>
                    <a:stretch>
                      <a:fillRect/>
                    </a:stretch>
                  </pic:blipFill>
                  <pic:spPr>
                    <a:xfrm>
                      <a:off x="0" y="0"/>
                      <a:ext cx="57456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rtl w:val="0"/>
        </w:rPr>
      </w:r>
    </w:p>
    <w:sectPr>
      <w:headerReference r:id="rId32" w:type="default"/>
      <w:footerReference r:id="rId33"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rPr/>
    </w:pPr>
    <w:r w:rsidDel="00000000" w:rsidR="00000000" w:rsidRPr="00000000">
      <w:rPr/>
      <w:drawing>
        <wp:anchor allowOverlap="1" behindDoc="0" distB="114300" distT="114300" distL="114300" distR="114300" hidden="0" layoutInCell="1" locked="0" relativeHeight="0" simplePos="0">
          <wp:simplePos x="0" y="0"/>
          <wp:positionH relativeFrom="page">
            <wp:posOffset>5502535</wp:posOffset>
          </wp:positionH>
          <wp:positionV relativeFrom="page">
            <wp:posOffset>611913</wp:posOffset>
          </wp:positionV>
          <wp:extent cx="1014413" cy="338138"/>
          <wp:effectExtent b="0" l="0" r="0" t="0"/>
          <wp:wrapNone/>
          <wp:docPr descr="SAGITTARIUS logo" id="15" name="image4.png"/>
          <a:graphic>
            <a:graphicData uri="http://schemas.openxmlformats.org/drawingml/2006/picture">
              <pic:pic>
                <pic:nvPicPr>
                  <pic:cNvPr descr="SAGITTARIUS logo" id="0" name="image4.png"/>
                  <pic:cNvPicPr preferRelativeResize="0"/>
                </pic:nvPicPr>
                <pic:blipFill>
                  <a:blip r:embed="rId1"/>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2E">
    <w:pPr>
      <w:rPr/>
    </w:pPr>
    <w:r w:rsidDel="00000000" w:rsidR="00000000" w:rsidRPr="00000000">
      <w:rPr/>
      <w:drawing>
        <wp:inline distB="114300" distT="114300" distL="114300" distR="114300">
          <wp:extent cx="1171688" cy="318140"/>
          <wp:effectExtent b="0" l="0" r="0" t="0"/>
          <wp:docPr id="10"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171688" cy="3181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2.png"/><Relationship Id="rId22" Type="http://schemas.openxmlformats.org/officeDocument/2006/relationships/image" Target="media/image13.png"/><Relationship Id="rId21" Type="http://schemas.openxmlformats.org/officeDocument/2006/relationships/image" Target="media/image9.png"/><Relationship Id="rId24" Type="http://schemas.openxmlformats.org/officeDocument/2006/relationships/image" Target="media/image12.png"/><Relationship Id="rId23" Type="http://schemas.openxmlformats.org/officeDocument/2006/relationships/image" Target="media/image1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ogentech.it/aboutus.php" TargetMode="External"/><Relationship Id="rId26" Type="http://schemas.openxmlformats.org/officeDocument/2006/relationships/image" Target="media/image5.png"/><Relationship Id="rId25" Type="http://schemas.openxmlformats.org/officeDocument/2006/relationships/image" Target="media/image10.png"/><Relationship Id="rId28" Type="http://schemas.openxmlformats.org/officeDocument/2006/relationships/image" Target="media/image7.png"/><Relationship Id="rId27"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sagittarius-horizon.eu/en/" TargetMode="External"/><Relationship Id="rId29" Type="http://schemas.openxmlformats.org/officeDocument/2006/relationships/image" Target="media/image14.png"/><Relationship Id="rId7" Type="http://schemas.openxmlformats.org/officeDocument/2006/relationships/hyperlink" Target="https://sagittarius-horizon.eu/en/" TargetMode="External"/><Relationship Id="rId8" Type="http://schemas.openxmlformats.org/officeDocument/2006/relationships/hyperlink" Target="https://www.ifom.eu/en/" TargetMode="External"/><Relationship Id="rId31" Type="http://schemas.openxmlformats.org/officeDocument/2006/relationships/image" Target="media/image8.png"/><Relationship Id="rId30" Type="http://schemas.openxmlformats.org/officeDocument/2006/relationships/image" Target="media/image6.png"/><Relationship Id="rId11" Type="http://schemas.openxmlformats.org/officeDocument/2006/relationships/hyperlink" Target="https://www.airc.it/english" TargetMode="External"/><Relationship Id="rId33" Type="http://schemas.openxmlformats.org/officeDocument/2006/relationships/footer" Target="footer1.xml"/><Relationship Id="rId10" Type="http://schemas.openxmlformats.org/officeDocument/2006/relationships/hyperlink" Target="https://www.airc.it/english" TargetMode="External"/><Relationship Id="rId32" Type="http://schemas.openxmlformats.org/officeDocument/2006/relationships/header" Target="header1.xml"/><Relationship Id="rId13" Type="http://schemas.openxmlformats.org/officeDocument/2006/relationships/hyperlink" Target="https://cergas.unibocconi.eu/" TargetMode="External"/><Relationship Id="rId12" Type="http://schemas.openxmlformats.org/officeDocument/2006/relationships/hyperlink" Target="https://www.imim.cat/infocorporativa/en_institucio.html" TargetMode="External"/><Relationship Id="rId15" Type="http://schemas.openxmlformats.org/officeDocument/2006/relationships/hyperlink" Target="https://digestivecancers.eu/" TargetMode="External"/><Relationship Id="rId14" Type="http://schemas.openxmlformats.org/officeDocument/2006/relationships/hyperlink" Target="https://digestivecancers.eu/" TargetMode="External"/><Relationship Id="rId17" Type="http://schemas.openxmlformats.org/officeDocument/2006/relationships/hyperlink" Target="https://vhio.net/" TargetMode="External"/><Relationship Id="rId16" Type="http://schemas.openxmlformats.org/officeDocument/2006/relationships/hyperlink" Target="https://sporedata.com/" TargetMode="External"/><Relationship Id="rId19" Type="http://schemas.openxmlformats.org/officeDocument/2006/relationships/hyperlink" Target="https://sagittarius-horizon.eu/de/ressourcen/" TargetMode="External"/><Relationship Id="rId18" Type="http://schemas.openxmlformats.org/officeDocument/2006/relationships/hyperlink" Target="https://www.charite.de/e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HelveticaNeueLight-regular.ttf"/><Relationship Id="rId6" Type="http://schemas.openxmlformats.org/officeDocument/2006/relationships/font" Target="fonts/HelveticaNeueLight-bold.ttf"/><Relationship Id="rId7" Type="http://schemas.openxmlformats.org/officeDocument/2006/relationships/font" Target="fonts/HelveticaNeueLight-italic.ttf"/><Relationship Id="rId8"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